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0D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>План</w:t>
      </w:r>
      <w:r w:rsidR="00127CD2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контроле</w:t>
      </w:r>
      <w:r w:rsidR="00127CD2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приступа</w:t>
      </w:r>
      <w:r w:rsidR="00127CD2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Мере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поступци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спроведени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привредном</w:t>
      </w:r>
      <w:r w:rsidR="00635B4F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друштву</w:t>
      </w:r>
      <w:r w:rsidR="00127CD2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или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одређеном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објекту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физичкој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локацији</w:t>
      </w:r>
      <w:r w:rsidR="00127CD2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у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циљу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контроле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приступа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страних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држављана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контролисаној</w:t>
      </w:r>
      <w:r w:rsidR="00127CD2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стратешкој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технологији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информацијама</w:t>
      </w:r>
      <w:r w:rsidR="00127CD2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Планови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контроле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приступа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обухватају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мере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електронског</w:t>
      </w:r>
      <w:r w:rsidR="00127CD2" w:rsidRPr="003A13A3"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информационе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технологије</w:t>
      </w:r>
      <w:r w:rsidR="00127CD2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IT</w:t>
      </w:r>
      <w:r w:rsidR="00127CD2" w:rsidRPr="003A13A3">
        <w:rPr>
          <w:rFonts w:ascii="Times New Roman" w:hAnsi="Times New Roman"/>
          <w:color w:val="000000"/>
        </w:rPr>
        <w:t xml:space="preserve">)) </w:t>
      </w:r>
      <w:r>
        <w:rPr>
          <w:rFonts w:ascii="Times New Roman" w:hAnsi="Times New Roman"/>
          <w:color w:val="000000"/>
        </w:rPr>
        <w:t>и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физичког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обезбеђења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осмишљене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тако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спрече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неовлашћени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приступ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страних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држављана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технологији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информацијама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регулисане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законима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прописима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ваше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земље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области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контроле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спољне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трговине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стратешком</w:t>
      </w:r>
      <w:r w:rsidR="00127C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робом</w:t>
      </w:r>
      <w:r w:rsidR="00A05E7E">
        <w:rPr>
          <w:rFonts w:ascii="Times New Roman" w:hAnsi="Times New Roman"/>
          <w:color w:val="000000"/>
        </w:rPr>
        <w:t>(STC)</w:t>
      </w:r>
      <w:r w:rsidR="00962744">
        <w:rPr>
          <w:rStyle w:val="EndnoteReference"/>
          <w:rFonts w:ascii="Times New Roman" w:hAnsi="Times New Roman"/>
          <w:color w:val="000000"/>
        </w:rPr>
        <w:endnoteReference w:id="1"/>
      </w:r>
      <w:r>
        <w:rPr>
          <w:rFonts w:ascii="Times New Roman" w:hAnsi="Times New Roman"/>
          <w:color w:val="000000"/>
        </w:rPr>
        <w:t>.</w:t>
      </w:r>
    </w:p>
    <w:p w:rsidR="005E070D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Агент</w:t>
      </w:r>
      <w:r w:rsidR="00813F79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или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заступник</w:t>
      </w:r>
      <w:r w:rsidR="005E070D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појединац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овлашћен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обављање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послова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рачун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другог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лица</w:t>
      </w:r>
      <w:r w:rsidR="005E070D" w:rsidRPr="003A13A3">
        <w:rPr>
          <w:rFonts w:ascii="Times New Roman" w:hAnsi="Times New Roman"/>
          <w:color w:val="000000"/>
        </w:rPr>
        <w:t>.</w:t>
      </w:r>
      <w:r w:rsidR="005E070D" w:rsidRPr="003A13A3">
        <w:rPr>
          <w:rStyle w:val="EndnoteReference"/>
          <w:rFonts w:ascii="Times New Roman" w:hAnsi="Times New Roman"/>
          <w:color w:val="000000"/>
        </w:rPr>
        <w:endnoteReference w:id="2"/>
      </w:r>
    </w:p>
    <w:p w:rsidR="005E070D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Авионски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товарни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лист</w:t>
      </w:r>
      <w:r w:rsidR="005E070D" w:rsidRPr="003A13A3">
        <w:rPr>
          <w:rFonts w:ascii="Times New Roman" w:hAnsi="Times New Roman"/>
          <w:b/>
          <w:color w:val="000000"/>
        </w:rPr>
        <w:t>(</w:t>
      </w:r>
      <w:r w:rsidR="00A05E7E">
        <w:rPr>
          <w:rFonts w:ascii="Times New Roman" w:hAnsi="Times New Roman"/>
          <w:b/>
          <w:color w:val="000000"/>
        </w:rPr>
        <w:t>AWB</w:t>
      </w:r>
      <w:r w:rsidR="005E070D" w:rsidRPr="003A13A3">
        <w:rPr>
          <w:rFonts w:ascii="Times New Roman" w:hAnsi="Times New Roman"/>
          <w:b/>
          <w:color w:val="000000"/>
        </w:rPr>
        <w:t xml:space="preserve">): </w:t>
      </w:r>
      <w:r>
        <w:rPr>
          <w:rFonts w:ascii="Times New Roman" w:hAnsi="Times New Roman"/>
          <w:color w:val="000000"/>
        </w:rPr>
        <w:t>Транспортни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документ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обухвата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домаће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међународне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летове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којима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одређеног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одредишта</w:t>
      </w:r>
      <w:r w:rsidR="005E070D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То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непреносиви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инструмент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ваздушном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саобраћају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служи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потврда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отпремника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коме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наводи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превозник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прихватио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наведену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дужан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пренесе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пошиљку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аеродрома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одредишта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складу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наведеним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условима</w:t>
      </w:r>
      <w:r w:rsidR="005E070D" w:rsidRPr="003A13A3">
        <w:rPr>
          <w:rFonts w:ascii="Times New Roman" w:hAnsi="Times New Roman"/>
          <w:color w:val="000000"/>
        </w:rPr>
        <w:t>.</w:t>
      </w:r>
      <w:r w:rsidR="00093356" w:rsidRPr="003A13A3">
        <w:rPr>
          <w:rStyle w:val="EndnoteReference"/>
          <w:rFonts w:ascii="Times New Roman" w:hAnsi="Times New Roman"/>
          <w:color w:val="000000"/>
        </w:rPr>
        <w:endnoteReference w:id="3"/>
      </w:r>
    </w:p>
    <w:p w:rsidR="00CD0DAE" w:rsidRDefault="005B7DFA">
      <w:pPr>
        <w:spacing w:before="120" w:after="120" w:line="240" w:lineRule="auto"/>
        <w:ind w:left="-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Наоружање</w:t>
      </w:r>
      <w:r w:rsidR="009E641C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све</w:t>
      </w:r>
      <w:r w:rsidR="0073218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врсте</w:t>
      </w:r>
      <w:r w:rsidR="0073218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средстава</w:t>
      </w:r>
      <w:r w:rsidR="0073218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обухваћене</w:t>
      </w:r>
      <w:r w:rsidR="0073218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Националном</w:t>
      </w:r>
      <w:r w:rsidR="0073218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контролном</w:t>
      </w:r>
      <w:r w:rsidR="0073218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листом</w:t>
      </w:r>
      <w:r w:rsidR="0073218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73218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73218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војне</w:t>
      </w:r>
      <w:r w:rsidR="0073218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опреме</w:t>
      </w:r>
      <w:r w:rsidR="008C221F">
        <w:rPr>
          <w:rFonts w:ascii="Times New Roman" w:hAnsi="Times New Roman"/>
          <w:color w:val="000000"/>
        </w:rPr>
        <w:t>.</w:t>
      </w:r>
    </w:p>
    <w:p w:rsidR="00732189" w:rsidRPr="00CD0DAE" w:rsidRDefault="005B7DFA">
      <w:pPr>
        <w:spacing w:before="120" w:after="120" w:line="240" w:lineRule="auto"/>
        <w:ind w:left="-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Брокерске</w:t>
      </w:r>
      <w:r w:rsidR="00732189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услуге</w:t>
      </w:r>
      <w:r w:rsidR="00732189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</w:t>
      </w:r>
      <w:r w:rsidR="00732189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пословима</w:t>
      </w:r>
      <w:r w:rsidR="009E641C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трговине</w:t>
      </w:r>
      <w:r w:rsidR="009E641C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оружјем</w:t>
      </w:r>
      <w:r w:rsidR="009E641C" w:rsidRPr="003A13A3">
        <w:rPr>
          <w:rFonts w:ascii="Times New Roman" w:hAnsi="Times New Roman"/>
          <w:b/>
          <w:color w:val="000000"/>
        </w:rPr>
        <w:t xml:space="preserve">: </w:t>
      </w:r>
      <w:r w:rsidR="00732189" w:rsidRPr="00CD0DAE">
        <w:rPr>
          <w:rFonts w:ascii="Times New Roman" w:hAnsi="Times New Roman"/>
          <w:color w:val="000000"/>
        </w:rPr>
        <w:t>брокерске услуге су уговарање и посредовање у уговарању послова у вези са куповином, продајом, или набавком НВО из једне државе и њихову продају у другој држави, као и продаја или куповина НВО у једној држави ради преноса у другу државу. Брокерским услугама не сматрају се услуге транспорта, финансијске услуге, осигурање, реосигурање, оглашавање и рекламирање</w:t>
      </w:r>
      <w:r w:rsidR="00264AEE">
        <w:rPr>
          <w:rFonts w:ascii="Times New Roman" w:hAnsi="Times New Roman"/>
          <w:color w:val="000000"/>
        </w:rPr>
        <w:t>.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Ревизија</w:t>
      </w:r>
      <w:r w:rsidR="00041757" w:rsidRPr="003A13A3">
        <w:rPr>
          <w:rFonts w:ascii="Times New Roman" w:hAnsi="Times New Roman"/>
          <w:b/>
          <w:color w:val="000000"/>
        </w:rPr>
        <w:t>/</w:t>
      </w:r>
      <w:r>
        <w:rPr>
          <w:rFonts w:ascii="Times New Roman" w:hAnsi="Times New Roman"/>
          <w:b/>
          <w:color w:val="000000"/>
        </w:rPr>
        <w:t>интерна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ревизија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Ревизија</w:t>
      </w:r>
      <w:r w:rsidR="00D95F49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односно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интерна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ревизија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омогућава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систематски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приступ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прикупљању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података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анализи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интерних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процеса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процедура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утврдила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вероватноћа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непоштовања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важећих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прописа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што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укључује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процену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ризика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прегледом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интерних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активностима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спољном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оквиру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предузећа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4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Ревизорски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траг</w:t>
      </w:r>
      <w:r w:rsidR="00041757" w:rsidRPr="003A13A3">
        <w:rPr>
          <w:rFonts w:ascii="Times New Roman" w:hAnsi="Times New Roman"/>
          <w:b/>
          <w:color w:val="000000"/>
        </w:rPr>
        <w:t>: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сваку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обухвата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контролисану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мора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постојати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јасан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следљив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траг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информација</w:t>
      </w:r>
      <w:r w:rsidR="00041757" w:rsidRPr="003A13A3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>података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подаци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треба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садрже</w:t>
      </w:r>
      <w:r w:rsidR="00041757" w:rsidRPr="003A13A3">
        <w:rPr>
          <w:rFonts w:ascii="Times New Roman" w:hAnsi="Times New Roman"/>
          <w:color w:val="000000"/>
        </w:rPr>
        <w:t xml:space="preserve"> „</w:t>
      </w:r>
      <w:r>
        <w:rPr>
          <w:rFonts w:ascii="Times New Roman" w:hAnsi="Times New Roman"/>
          <w:color w:val="000000"/>
        </w:rPr>
        <w:t>име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адресу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813F79" w:rsidRPr="003A13A3">
        <w:rPr>
          <w:rFonts w:ascii="Times New Roman" w:hAnsi="Times New Roman"/>
          <w:color w:val="000000"/>
        </w:rPr>
        <w:t>–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укључујући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одредишта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813F79" w:rsidRPr="003A13A3">
        <w:rPr>
          <w:rFonts w:ascii="Times New Roman" w:hAnsi="Times New Roman"/>
          <w:color w:val="000000"/>
        </w:rPr>
        <w:t>–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појединца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организације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примила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податке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познатим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корисницима</w:t>
      </w:r>
      <w:r w:rsidR="00813F79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опис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извози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тј</w:t>
      </w:r>
      <w:r w:rsidR="00813F79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преноси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датум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датуме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коришћене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дозволе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друге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информације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услове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дозволом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такође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требало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обухвати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списак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лица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одговорних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сваки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корак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процесу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трансакције</w:t>
      </w:r>
      <w:r w:rsidR="00813F7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односно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извоза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eastAsia="Times New Roman" w:hAnsi="Times New Roman"/>
          <w:color w:val="000000"/>
        </w:rPr>
        <w:endnoteReference w:id="5"/>
      </w:r>
      <w:r w:rsidR="00041757" w:rsidRPr="003A13A3">
        <w:rPr>
          <w:rFonts w:ascii="Times New Roman" w:hAnsi="Times New Roman"/>
          <w:color w:val="000000"/>
        </w:rPr>
        <w:t xml:space="preserve">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Дозвола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Званични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документ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неопходан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обављања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било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каквих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трансакција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нпр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извоз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транзит</w:t>
      </w:r>
      <w:r w:rsidR="00041757" w:rsidRPr="003A13A3">
        <w:rPr>
          <w:rFonts w:ascii="Times New Roman" w:hAnsi="Times New Roman"/>
          <w:color w:val="000000"/>
        </w:rPr>
        <w:t xml:space="preserve">/ </w:t>
      </w:r>
      <w:r>
        <w:rPr>
          <w:rFonts w:ascii="Times New Roman" w:hAnsi="Times New Roman"/>
          <w:color w:val="000000"/>
        </w:rPr>
        <w:t>провоз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претовар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брокерске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услуге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контролисану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омогућава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пренос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наведене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означеног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крајњег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означену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одредиште</w:t>
      </w:r>
      <w:r w:rsidR="00041757" w:rsidRPr="003A13A3">
        <w:rPr>
          <w:rFonts w:ascii="Times New Roman" w:hAnsi="Times New Roman"/>
          <w:color w:val="000000"/>
        </w:rPr>
        <w:t xml:space="preserve">.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Овлашћени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економски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оператер</w:t>
      </w:r>
      <w:r w:rsidR="00041757" w:rsidRPr="003A13A3">
        <w:rPr>
          <w:rFonts w:ascii="Times New Roman" w:hAnsi="Times New Roman"/>
          <w:b/>
          <w:color w:val="000000"/>
        </w:rPr>
        <w:t>/</w:t>
      </w:r>
      <w:r>
        <w:rPr>
          <w:rFonts w:ascii="Times New Roman" w:hAnsi="Times New Roman"/>
          <w:b/>
          <w:color w:val="000000"/>
        </w:rPr>
        <w:t>овлашћени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привредни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субјект</w:t>
      </w:r>
      <w:r w:rsidR="00041757" w:rsidRPr="003A13A3">
        <w:rPr>
          <w:rFonts w:ascii="Times New Roman" w:hAnsi="Times New Roman"/>
          <w:b/>
          <w:color w:val="000000"/>
        </w:rPr>
        <w:t>(</w:t>
      </w:r>
      <w:r>
        <w:rPr>
          <w:rFonts w:ascii="Times New Roman" w:hAnsi="Times New Roman"/>
          <w:b/>
          <w:color w:val="000000"/>
        </w:rPr>
        <w:t>АЕО</w:t>
      </w:r>
      <w:r w:rsidR="00041757" w:rsidRPr="003A13A3">
        <w:rPr>
          <w:rFonts w:ascii="Times New Roman" w:hAnsi="Times New Roman"/>
          <w:b/>
          <w:color w:val="000000"/>
        </w:rPr>
        <w:t xml:space="preserve">): </w:t>
      </w:r>
      <w:r w:rsidR="00041757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Страна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међународни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промет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било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функцији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одобрила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управа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царине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дате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одобрена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управе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царине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привредни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субјект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пословање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усклађено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стандардима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безбедности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Светске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царинске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организације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СЦО</w:t>
      </w:r>
      <w:r w:rsidR="00041757" w:rsidRPr="003A13A3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>енг</w:t>
      </w:r>
      <w:r w:rsidR="00041757" w:rsidRPr="003A13A3">
        <w:rPr>
          <w:rFonts w:ascii="Times New Roman" w:hAnsi="Times New Roman"/>
          <w:color w:val="000000"/>
        </w:rPr>
        <w:t>. W</w:t>
      </w:r>
      <w:r w:rsidR="00720E3B">
        <w:rPr>
          <w:rFonts w:ascii="Times New Roman" w:hAnsi="Times New Roman"/>
          <w:color w:val="000000"/>
        </w:rPr>
        <w:t>CO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еквивалентног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стандарда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безбедности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ланца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снабдевања</w:t>
      </w:r>
      <w:r w:rsidR="00041757" w:rsidRPr="003A13A3">
        <w:rPr>
          <w:rFonts w:ascii="Times New Roman" w:hAnsi="Times New Roman"/>
          <w:color w:val="000000"/>
        </w:rPr>
        <w:t>.“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6"/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стекле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статус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овлашћеног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економског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оператера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односно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овлашћеног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привредног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субјекта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организације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морају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придржавају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бројних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безбедносних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стандарда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ланаца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снабдевања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прописује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национална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влада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Овлашћени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економски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оператери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АЕО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између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осталог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укључују</w:t>
      </w:r>
      <w:r w:rsidR="00041757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произвођаче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увознике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извознике</w:t>
      </w:r>
      <w:r w:rsidR="00741EB2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брокере</w:t>
      </w:r>
      <w:r w:rsidR="00741EB2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превознике</w:t>
      </w:r>
      <w:r w:rsidR="00635B4F" w:rsidRPr="003A13A3">
        <w:rPr>
          <w:rFonts w:ascii="Times New Roman" w:hAnsi="Times New Roman"/>
          <w:color w:val="000000"/>
        </w:rPr>
        <w:t>,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консолидаторе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посреднике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луке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аеродроме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привредне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субјекте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управљају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терминалима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интегрисане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оператере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складишта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дистрибутере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7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Основна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научна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истраживања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Иако</w:t>
      </w:r>
      <w:r w:rsidR="007635E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истраживања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односе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различиту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војне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подлежу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строгој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ово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односи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„</w:t>
      </w:r>
      <w:r>
        <w:rPr>
          <w:rFonts w:ascii="Times New Roman" w:hAnsi="Times New Roman"/>
          <w:color w:val="000000"/>
        </w:rPr>
        <w:t>основна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научна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истраживања</w:t>
      </w:r>
      <w:r w:rsidR="00041757" w:rsidRPr="003A13A3">
        <w:rPr>
          <w:rFonts w:ascii="Times New Roman" w:hAnsi="Times New Roman"/>
          <w:color w:val="000000"/>
        </w:rPr>
        <w:t xml:space="preserve">“,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Васенарски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аранжман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дефинишу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>: „</w:t>
      </w:r>
      <w:r>
        <w:rPr>
          <w:rFonts w:ascii="Times New Roman" w:hAnsi="Times New Roman"/>
          <w:color w:val="000000"/>
        </w:rPr>
        <w:t>експерименталан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теоријски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lastRenderedPageBreak/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спроводи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углавном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циљем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стицања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нових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знања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основним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начелима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појава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уочљивих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чињеница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првенствено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усмерен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неки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практичан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општи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конкретан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циљ</w:t>
      </w:r>
      <w:r w:rsidR="007635E0">
        <w:rPr>
          <w:rFonts w:ascii="Times New Roman" w:hAnsi="Times New Roman"/>
          <w:color w:val="000000"/>
        </w:rPr>
        <w:t>.</w:t>
      </w:r>
      <w:r w:rsidR="00041757" w:rsidRPr="003A13A3">
        <w:rPr>
          <w:rFonts w:ascii="Times New Roman" w:hAnsi="Times New Roman"/>
          <w:color w:val="000000"/>
        </w:rPr>
        <w:t>“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8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Товарни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лист</w:t>
      </w:r>
      <w:r w:rsidR="00041757" w:rsidRPr="003A13A3">
        <w:rPr>
          <w:rFonts w:ascii="Times New Roman" w:hAnsi="Times New Roman"/>
          <w:b/>
          <w:color w:val="000000"/>
        </w:rPr>
        <w:t>(</w:t>
      </w:r>
      <w:r w:rsidR="00117B4A">
        <w:rPr>
          <w:rFonts w:ascii="Times New Roman" w:hAnsi="Times New Roman"/>
          <w:b/>
          <w:color w:val="000000"/>
        </w:rPr>
        <w:t>B/L</w:t>
      </w:r>
      <w:r w:rsidR="00041757" w:rsidRPr="003A13A3">
        <w:rPr>
          <w:rFonts w:ascii="Times New Roman" w:hAnsi="Times New Roman"/>
          <w:b/>
          <w:color w:val="000000"/>
        </w:rPr>
        <w:t xml:space="preserve">): </w:t>
      </w:r>
      <w:r>
        <w:rPr>
          <w:rFonts w:ascii="Times New Roman" w:hAnsi="Times New Roman"/>
          <w:color w:val="000000"/>
        </w:rPr>
        <w:t>Документ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утврђују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услови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уговора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између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ED4085">
        <w:rPr>
          <w:rFonts w:ascii="Times New Roman" w:hAnsi="Times New Roman"/>
          <w:color w:val="000000"/>
          <w:lang w:val="sr-Cyrl-CS"/>
        </w:rPr>
        <w:t>отпремника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превозника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коме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ће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терет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превозити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између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одређених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тачака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одређену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накнаду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Товарни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лист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обично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припрема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ED4085">
        <w:rPr>
          <w:rFonts w:ascii="Times New Roman" w:hAnsi="Times New Roman"/>
          <w:color w:val="000000"/>
          <w:lang w:val="sr-Cyrl-CS"/>
        </w:rPr>
        <w:t>отпремник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његов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агент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обрасцима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издаје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превозник</w:t>
      </w:r>
      <w:r w:rsidR="00635B4F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Товарни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лист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служи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документ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власништву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уговор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потврда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пријема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9"/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Купопродајни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уговор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Уговор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продаји</w:t>
      </w:r>
      <w:r w:rsidR="00B60A0E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B60A0E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B60A0E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услуга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10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Биолошко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оружје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Биолошко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дефинисано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Конвенцијом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забрани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усавршавања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производње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стварања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залиха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бактериолошког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биолошког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токсичког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њиховом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уништавању</w:t>
      </w:r>
      <w:r w:rsidR="00041757" w:rsidRPr="003A13A3">
        <w:rPr>
          <w:rFonts w:ascii="Times New Roman" w:hAnsi="Times New Roman"/>
          <w:color w:val="000000"/>
        </w:rPr>
        <w:t>(</w:t>
      </w:r>
      <w:r w:rsidR="008D1DD3">
        <w:rPr>
          <w:rFonts w:ascii="Times New Roman" w:hAnsi="Times New Roman"/>
          <w:color w:val="000000"/>
        </w:rPr>
        <w:t>BTWC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: </w:t>
      </w:r>
      <w:r w:rsidR="008D1DD3">
        <w:rPr>
          <w:rFonts w:ascii="Times New Roman" w:hAnsi="Times New Roman"/>
          <w:color w:val="000000"/>
          <w:lang w:val="sr-Cyrl-CS"/>
        </w:rPr>
        <w:t>(</w:t>
      </w:r>
      <w:r w:rsidR="00041757" w:rsidRPr="003A13A3">
        <w:rPr>
          <w:rFonts w:ascii="Times New Roman" w:hAnsi="Times New Roman"/>
          <w:color w:val="000000"/>
        </w:rPr>
        <w:t>1)</w:t>
      </w:r>
      <w:r>
        <w:rPr>
          <w:rFonts w:ascii="Times New Roman" w:hAnsi="Times New Roman"/>
          <w:color w:val="000000"/>
        </w:rPr>
        <w:t>микробни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други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биолошки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агенси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токсини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без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обзира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порекло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начин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производње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врста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количинама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могу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оправдати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адекватне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превентивну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заштитну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мирољубиву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намену</w:t>
      </w:r>
      <w:r w:rsidR="00041757" w:rsidRPr="003A13A3">
        <w:rPr>
          <w:rFonts w:ascii="Times New Roman" w:hAnsi="Times New Roman"/>
          <w:color w:val="000000"/>
        </w:rPr>
        <w:t>; (2)</w:t>
      </w:r>
      <w:r>
        <w:rPr>
          <w:rFonts w:ascii="Times New Roman" w:hAnsi="Times New Roman"/>
          <w:color w:val="000000"/>
        </w:rPr>
        <w:t>оружје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опрема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механизми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доставе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осмишљени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коришћење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агенаса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токсина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непријатељске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сврхе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оружаним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сукобима</w:t>
      </w:r>
      <w:r w:rsidR="00041757" w:rsidRPr="003A13A3">
        <w:rPr>
          <w:rFonts w:ascii="Times New Roman" w:hAnsi="Times New Roman"/>
          <w:color w:val="000000"/>
        </w:rPr>
        <w:t xml:space="preserve">.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Превозник</w:t>
      </w:r>
      <w:r w:rsidR="00B60A0E" w:rsidRPr="003A13A3">
        <w:rPr>
          <w:rFonts w:ascii="Times New Roman" w:hAnsi="Times New Roman"/>
          <w:b/>
          <w:color w:val="000000"/>
        </w:rPr>
        <w:t>(</w:t>
      </w:r>
      <w:r>
        <w:rPr>
          <w:rFonts w:ascii="Times New Roman" w:hAnsi="Times New Roman"/>
          <w:b/>
          <w:color w:val="000000"/>
        </w:rPr>
        <w:t>шпедитер</w:t>
      </w:r>
      <w:r w:rsidR="00B60A0E" w:rsidRPr="003A13A3">
        <w:rPr>
          <w:rFonts w:ascii="Times New Roman" w:hAnsi="Times New Roman"/>
          <w:b/>
          <w:color w:val="000000"/>
        </w:rPr>
        <w:t>)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 w:rsidR="00041757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Правно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лице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појединац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организација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бави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путника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туђ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рачун</w:t>
      </w:r>
      <w:r w:rsidR="00041757" w:rsidRPr="003A13A3">
        <w:rPr>
          <w:rFonts w:ascii="Times New Roman" w:hAnsi="Times New Roman"/>
          <w:color w:val="000000"/>
        </w:rPr>
        <w:t>“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11"/>
      </w:r>
      <w:r w:rsidR="00041757" w:rsidRPr="003A13A3">
        <w:rPr>
          <w:rFonts w:ascii="Times New Roman" w:hAnsi="Times New Roman"/>
          <w:color w:val="000000"/>
        </w:rPr>
        <w:t xml:space="preserve"> </w:t>
      </w:r>
    </w:p>
    <w:p w:rsidR="00041757" w:rsidRPr="003A13A3" w:rsidRDefault="00E93DAF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lang w:val="en-US"/>
        </w:rPr>
        <w:t>CAS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 w:rsidR="005B7DFA">
        <w:rPr>
          <w:rFonts w:ascii="Times New Roman" w:hAnsi="Times New Roman"/>
          <w:b/>
          <w:color w:val="000000"/>
        </w:rPr>
        <w:t>број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 w:rsidR="00041757" w:rsidRPr="003A13A3">
        <w:rPr>
          <w:rFonts w:ascii="Times New Roman" w:hAnsi="Times New Roman"/>
          <w:color w:val="000000"/>
        </w:rPr>
        <w:t>„</w:t>
      </w:r>
      <w:r w:rsidRPr="00E93DAF">
        <w:rPr>
          <w:rFonts w:ascii="Times New Roman" w:hAnsi="Times New Roman"/>
          <w:color w:val="000000"/>
          <w:lang w:val="en-US"/>
        </w:rPr>
        <w:t>CAS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бројеви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регистарски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бројеви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Службе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хемијске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абстракте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CAS</w:t>
      </w:r>
      <w:r w:rsidR="00041757" w:rsidRPr="003A13A3">
        <w:rPr>
          <w:rFonts w:ascii="Times New Roman" w:hAnsi="Times New Roman"/>
          <w:color w:val="000000"/>
        </w:rPr>
        <w:t xml:space="preserve">). </w:t>
      </w:r>
      <w:r w:rsidR="005B7DFA">
        <w:rPr>
          <w:rFonts w:ascii="Times New Roman" w:hAnsi="Times New Roman"/>
          <w:color w:val="000000"/>
        </w:rPr>
        <w:t>Она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додељује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јединствени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нумерички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идентификатор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свакој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регистрованој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хемикалији</w:t>
      </w:r>
      <w:r w:rsidR="00041757" w:rsidRPr="003A13A3">
        <w:rPr>
          <w:rFonts w:ascii="Times New Roman" w:hAnsi="Times New Roman"/>
          <w:color w:val="000000"/>
        </w:rPr>
        <w:t xml:space="preserve">“, </w:t>
      </w:r>
      <w:r w:rsidR="005B7DFA">
        <w:rPr>
          <w:rFonts w:ascii="Times New Roman" w:hAnsi="Times New Roman"/>
          <w:color w:val="000000"/>
        </w:rPr>
        <w:t>укључујући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оне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означене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стране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Конвенције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хемијском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оружју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CWC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 w:rsidR="005B7DFA"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Аустралијске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групе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AG</w:t>
      </w:r>
      <w:r w:rsidR="00041757" w:rsidRPr="003A13A3">
        <w:rPr>
          <w:rFonts w:ascii="Times New Roman" w:hAnsi="Times New Roman"/>
          <w:color w:val="000000"/>
        </w:rPr>
        <w:t>).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12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Свеобухватна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контрола</w:t>
      </w:r>
      <w:r w:rsidR="00B60A0E" w:rsidRPr="003A13A3">
        <w:rPr>
          <w:rFonts w:ascii="Times New Roman" w:hAnsi="Times New Roman"/>
          <w:b/>
          <w:color w:val="000000"/>
        </w:rPr>
        <w:t>(</w:t>
      </w:r>
      <w:r w:rsidR="00FA4A39">
        <w:rPr>
          <w:rFonts w:ascii="Times New Roman" w:hAnsi="Times New Roman"/>
          <w:b/>
          <w:color w:val="000000"/>
        </w:rPr>
        <w:t>c</w:t>
      </w:r>
      <w:r w:rsidR="00E93DAF" w:rsidRPr="00C2086A">
        <w:rPr>
          <w:rFonts w:ascii="Times New Roman" w:hAnsi="Times New Roman"/>
          <w:b/>
          <w:color w:val="000000"/>
        </w:rPr>
        <w:t>atch all</w:t>
      </w:r>
      <w:r w:rsidR="00B60A0E" w:rsidRPr="00C2086A">
        <w:rPr>
          <w:rFonts w:ascii="Times New Roman" w:hAnsi="Times New Roman"/>
          <w:b/>
          <w:color w:val="000000"/>
        </w:rPr>
        <w:t>)</w:t>
      </w:r>
      <w:r w:rsidR="00741EB2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налази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листама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подлеже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издавању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дозвола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другим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ограничењима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основу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крајњег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односно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крајњег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одредишта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>.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Уверење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пореклу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робе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Уверење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потврђује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купљена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страној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заправо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произведена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земљи</w:t>
      </w:r>
      <w:r w:rsidR="00635B4F" w:rsidRPr="003A13A3">
        <w:rPr>
          <w:rFonts w:ascii="Times New Roman" w:hAnsi="Times New Roman"/>
          <w:color w:val="000000"/>
        </w:rPr>
        <w:t>.</w:t>
      </w:r>
    </w:p>
    <w:p w:rsidR="00041757" w:rsidRPr="003A13A3" w:rsidRDefault="00FA4A39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HBRN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 w:rsidR="00041757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HBRN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хемијски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 w:rsidR="005B7DFA">
        <w:rPr>
          <w:rFonts w:ascii="Times New Roman" w:hAnsi="Times New Roman"/>
          <w:color w:val="000000"/>
        </w:rPr>
        <w:t>биолошки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 w:rsidR="005B7DFA">
        <w:rPr>
          <w:rFonts w:ascii="Times New Roman" w:hAnsi="Times New Roman"/>
          <w:color w:val="000000"/>
        </w:rPr>
        <w:t>радиолошки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нуклеарни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материјали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претворени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оружје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не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 w:rsidR="005B7DFA">
        <w:rPr>
          <w:rFonts w:ascii="Times New Roman" w:hAnsi="Times New Roman"/>
          <w:color w:val="000000"/>
        </w:rPr>
        <w:t>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могу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проузрокују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велику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штету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да</w:t>
      </w:r>
      <w:r w:rsidR="009F5C99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представљају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значајну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претњу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рукама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терориста</w:t>
      </w:r>
      <w:r w:rsidR="00041757" w:rsidRPr="003A13A3">
        <w:rPr>
          <w:rFonts w:ascii="Times New Roman" w:hAnsi="Times New Roman"/>
          <w:color w:val="000000"/>
        </w:rPr>
        <w:t>“ [</w:t>
      </w:r>
      <w:r w:rsidR="005B7DFA"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других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неовлашћених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крајњих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корисника</w:t>
      </w:r>
      <w:r w:rsidR="00041757" w:rsidRPr="003A13A3">
        <w:rPr>
          <w:rFonts w:ascii="Times New Roman" w:hAnsi="Times New Roman"/>
          <w:color w:val="000000"/>
        </w:rPr>
        <w:t xml:space="preserve">]. </w:t>
      </w:r>
      <w:r w:rsidR="005B7DFA">
        <w:rPr>
          <w:rFonts w:ascii="Times New Roman" w:hAnsi="Times New Roman"/>
          <w:color w:val="000000"/>
        </w:rPr>
        <w:t>Материјали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претворени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оружје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могу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испоручити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помоћу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конвенционалне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војне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опреме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 w:rsidR="005B7DFA">
        <w:rPr>
          <w:rFonts w:ascii="Times New Roman" w:hAnsi="Times New Roman"/>
          <w:color w:val="000000"/>
        </w:rPr>
        <w:t>импровизованих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експлозивних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направа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IED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 w:rsidR="005B7DFA"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појачаних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минско</w:t>
      </w:r>
      <w:r w:rsidR="00041757" w:rsidRPr="003A13A3">
        <w:rPr>
          <w:rFonts w:ascii="Times New Roman" w:hAnsi="Times New Roman"/>
          <w:color w:val="000000"/>
        </w:rPr>
        <w:t>-</w:t>
      </w:r>
      <w:r w:rsidR="005B7DFA">
        <w:rPr>
          <w:rFonts w:ascii="Times New Roman" w:hAnsi="Times New Roman"/>
          <w:color w:val="000000"/>
        </w:rPr>
        <w:t>експлозивних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средстава</w:t>
      </w:r>
      <w:r w:rsidR="00041757" w:rsidRPr="003A13A3">
        <w:rPr>
          <w:rFonts w:ascii="Times New Roman" w:hAnsi="Times New Roman"/>
          <w:color w:val="000000"/>
        </w:rPr>
        <w:t>(</w:t>
      </w:r>
      <w:r w:rsidR="005B7DFA">
        <w:rPr>
          <w:rFonts w:ascii="Times New Roman" w:hAnsi="Times New Roman"/>
          <w:color w:val="000000"/>
        </w:rPr>
        <w:t>нпр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 w:rsidR="005B7DFA">
        <w:rPr>
          <w:rFonts w:ascii="Times New Roman" w:hAnsi="Times New Roman"/>
          <w:color w:val="000000"/>
        </w:rPr>
        <w:t>прљаве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бомбе</w:t>
      </w:r>
      <w:r w:rsidR="00041757" w:rsidRPr="003A13A3">
        <w:rPr>
          <w:rFonts w:ascii="Times New Roman" w:hAnsi="Times New Roman"/>
          <w:color w:val="000000"/>
        </w:rPr>
        <w:t xml:space="preserve">). </w:t>
      </w:r>
      <w:r w:rsidR="005B7DFA">
        <w:rPr>
          <w:rFonts w:ascii="Times New Roman" w:hAnsi="Times New Roman"/>
          <w:color w:val="000000"/>
        </w:rPr>
        <w:t>Материјал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није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претворен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оружје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традиционално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назива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опасни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терет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DG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 w:rsidR="005B7DFA"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опасни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материјал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HAZMAT</w:t>
      </w:r>
      <w:r w:rsidR="00041757" w:rsidRPr="003A13A3">
        <w:rPr>
          <w:rFonts w:ascii="Times New Roman" w:hAnsi="Times New Roman"/>
          <w:color w:val="000000"/>
        </w:rPr>
        <w:t>)</w:t>
      </w:r>
      <w:r w:rsidR="009F5C99" w:rsidRPr="003A13A3">
        <w:rPr>
          <w:rFonts w:ascii="Times New Roman" w:hAnsi="Times New Roman"/>
          <w:color w:val="000000"/>
        </w:rPr>
        <w:t>,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обухвати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контаминирану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храну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 w:rsidR="005B7DFA">
        <w:rPr>
          <w:rFonts w:ascii="Times New Roman" w:hAnsi="Times New Roman"/>
          <w:color w:val="000000"/>
        </w:rPr>
        <w:t>стоку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B7DFA">
        <w:rPr>
          <w:rFonts w:ascii="Times New Roman" w:hAnsi="Times New Roman"/>
          <w:color w:val="000000"/>
        </w:rPr>
        <w:t>усеве</w:t>
      </w:r>
      <w:r w:rsidR="00041757" w:rsidRPr="003A13A3">
        <w:rPr>
          <w:rFonts w:ascii="Times New Roman" w:hAnsi="Times New Roman"/>
          <w:color w:val="000000"/>
        </w:rPr>
        <w:t>.“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13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Хемијско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оружје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Конвенција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забрани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развоја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производње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складиштења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употребе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хемијског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његовом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уништавању</w:t>
      </w:r>
      <w:r w:rsidR="00041757" w:rsidRPr="003A13A3">
        <w:rPr>
          <w:rFonts w:ascii="Times New Roman" w:hAnsi="Times New Roman"/>
          <w:color w:val="000000"/>
        </w:rPr>
        <w:t>(</w:t>
      </w:r>
      <w:r w:rsidR="00F5543F">
        <w:rPr>
          <w:rFonts w:ascii="Times New Roman" w:hAnsi="Times New Roman"/>
          <w:color w:val="000000"/>
        </w:rPr>
        <w:t>CWC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хемијско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дефинише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: (1) </w:t>
      </w:r>
      <w:r>
        <w:rPr>
          <w:rFonts w:ascii="Times New Roman" w:hAnsi="Times New Roman"/>
          <w:color w:val="000000"/>
        </w:rPr>
        <w:t>токсичне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хемијске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супстанце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њихове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прекурсоре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осим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нису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забрањене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Конвенцијом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забрани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развоја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производње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складиштења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употребе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хемијског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његовом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уништавању</w:t>
      </w:r>
      <w:r w:rsidR="00041757" w:rsidRPr="003A13A3">
        <w:rPr>
          <w:rFonts w:ascii="Times New Roman" w:hAnsi="Times New Roman"/>
          <w:color w:val="000000"/>
        </w:rPr>
        <w:t>(</w:t>
      </w:r>
      <w:r w:rsidR="00F5543F">
        <w:rPr>
          <w:rFonts w:ascii="Times New Roman" w:hAnsi="Times New Roman"/>
          <w:color w:val="000000"/>
        </w:rPr>
        <w:t>CWC</w:t>
      </w:r>
      <w:r w:rsidR="00041757" w:rsidRPr="003A13A3"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color w:val="000000"/>
        </w:rPr>
        <w:t>све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док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својој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врсти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количинама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складу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таквим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наменама</w:t>
      </w:r>
      <w:r w:rsidR="00041757" w:rsidRPr="003A13A3">
        <w:rPr>
          <w:rFonts w:ascii="Times New Roman" w:hAnsi="Times New Roman"/>
          <w:color w:val="000000"/>
        </w:rPr>
        <w:t xml:space="preserve">; </w:t>
      </w:r>
      <w:r w:rsidR="009F5C99" w:rsidRPr="003A13A3">
        <w:rPr>
          <w:rFonts w:ascii="Times New Roman" w:hAnsi="Times New Roman"/>
          <w:color w:val="000000"/>
        </w:rPr>
        <w:t>(</w:t>
      </w:r>
      <w:r w:rsidR="00041757" w:rsidRPr="003A13A3">
        <w:rPr>
          <w:rFonts w:ascii="Times New Roman" w:hAnsi="Times New Roman"/>
          <w:color w:val="000000"/>
        </w:rPr>
        <w:t xml:space="preserve">2) </w:t>
      </w:r>
      <w:r>
        <w:rPr>
          <w:rFonts w:ascii="Times New Roman" w:hAnsi="Times New Roman"/>
          <w:color w:val="000000"/>
        </w:rPr>
        <w:t>војну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опрему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средства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посебно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конструисана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изазову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смрт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друго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оштећење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токсичним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својствима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токсичних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хемијских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супстанци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наведених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тачки</w:t>
      </w:r>
      <w:r w:rsidR="00041757" w:rsidRPr="003A13A3">
        <w:rPr>
          <w:rFonts w:ascii="Times New Roman" w:hAnsi="Times New Roman"/>
          <w:color w:val="000000"/>
        </w:rPr>
        <w:t xml:space="preserve"> (1) </w:t>
      </w:r>
      <w:r>
        <w:rPr>
          <w:rFonts w:ascii="Times New Roman" w:hAnsi="Times New Roman"/>
          <w:color w:val="000000"/>
        </w:rPr>
        <w:t>изнад</w:t>
      </w:r>
      <w:r w:rsidR="00041757" w:rsidRPr="003A13A3">
        <w:rPr>
          <w:rFonts w:ascii="Times New Roman" w:hAnsi="Times New Roman"/>
          <w:color w:val="000000"/>
        </w:rPr>
        <w:t xml:space="preserve">; </w:t>
      </w:r>
      <w:r w:rsidR="009F5C99" w:rsidRPr="003A13A3">
        <w:rPr>
          <w:rFonts w:ascii="Times New Roman" w:hAnsi="Times New Roman"/>
          <w:color w:val="000000"/>
        </w:rPr>
        <w:t>(</w:t>
      </w:r>
      <w:r w:rsidR="00041757" w:rsidRPr="003A13A3">
        <w:rPr>
          <w:rFonts w:ascii="Times New Roman" w:hAnsi="Times New Roman"/>
          <w:color w:val="000000"/>
        </w:rPr>
        <w:t xml:space="preserve">3) </w:t>
      </w:r>
      <w:r>
        <w:rPr>
          <w:rFonts w:ascii="Times New Roman" w:hAnsi="Times New Roman"/>
          <w:color w:val="000000"/>
        </w:rPr>
        <w:t>сву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опрему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посебно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конструисану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употребу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директно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повезану</w:t>
      </w:r>
      <w:r w:rsidR="009F5C9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коришћењем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војне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опреме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средстава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наведених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тачки</w:t>
      </w:r>
      <w:r w:rsidR="00041757" w:rsidRPr="003A13A3">
        <w:rPr>
          <w:rFonts w:ascii="Times New Roman" w:hAnsi="Times New Roman"/>
          <w:color w:val="000000"/>
        </w:rPr>
        <w:t xml:space="preserve"> (2) </w:t>
      </w:r>
      <w:r>
        <w:rPr>
          <w:rFonts w:ascii="Times New Roman" w:hAnsi="Times New Roman"/>
          <w:color w:val="000000"/>
        </w:rPr>
        <w:t>изнад</w:t>
      </w:r>
      <w:r w:rsidR="00041757" w:rsidRPr="003A13A3">
        <w:rPr>
          <w:rFonts w:ascii="Times New Roman" w:hAnsi="Times New Roman"/>
          <w:color w:val="000000"/>
        </w:rPr>
        <w:t>.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Конвенција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забрани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развоја</w:t>
      </w:r>
      <w:r w:rsidR="00041757" w:rsidRPr="003A13A3">
        <w:rPr>
          <w:rFonts w:ascii="Times New Roman" w:hAnsi="Times New Roman"/>
          <w:b/>
          <w:color w:val="000000"/>
        </w:rPr>
        <w:t xml:space="preserve">, </w:t>
      </w:r>
      <w:r>
        <w:rPr>
          <w:rFonts w:ascii="Times New Roman" w:hAnsi="Times New Roman"/>
          <w:b/>
          <w:color w:val="000000"/>
        </w:rPr>
        <w:t>производње</w:t>
      </w:r>
      <w:r w:rsidR="00041757" w:rsidRPr="003A13A3">
        <w:rPr>
          <w:rFonts w:ascii="Times New Roman" w:hAnsi="Times New Roman"/>
          <w:b/>
          <w:color w:val="000000"/>
        </w:rPr>
        <w:t xml:space="preserve">, </w:t>
      </w:r>
      <w:r>
        <w:rPr>
          <w:rFonts w:ascii="Times New Roman" w:hAnsi="Times New Roman"/>
          <w:b/>
          <w:color w:val="000000"/>
        </w:rPr>
        <w:t>складиштења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употребе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хемијског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оружја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његовом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уништавању</w:t>
      </w:r>
      <w:r w:rsidR="00041757" w:rsidRPr="003A13A3">
        <w:rPr>
          <w:rFonts w:ascii="Times New Roman" w:hAnsi="Times New Roman"/>
          <w:b/>
          <w:color w:val="000000"/>
        </w:rPr>
        <w:t>(</w:t>
      </w:r>
      <w:r w:rsidR="00AD7263">
        <w:rPr>
          <w:rFonts w:ascii="Times New Roman" w:hAnsi="Times New Roman"/>
          <w:b/>
          <w:color w:val="000000"/>
        </w:rPr>
        <w:t>CWC</w:t>
      </w:r>
      <w:r w:rsidR="00041757" w:rsidRPr="003A13A3">
        <w:rPr>
          <w:rFonts w:ascii="Times New Roman" w:hAnsi="Times New Roman"/>
          <w:b/>
          <w:color w:val="000000"/>
        </w:rPr>
        <w:t xml:space="preserve">), </w:t>
      </w:r>
      <w:r>
        <w:rPr>
          <w:rFonts w:ascii="Times New Roman" w:hAnsi="Times New Roman"/>
          <w:b/>
          <w:color w:val="000000"/>
        </w:rPr>
        <w:t>Конвенција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хемијском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оружју</w:t>
      </w:r>
      <w:r w:rsidR="00041757" w:rsidRPr="003A13A3">
        <w:rPr>
          <w:rFonts w:ascii="Times New Roman" w:hAnsi="Times New Roman"/>
          <w:b/>
          <w:color w:val="000000"/>
        </w:rPr>
        <w:t>(</w:t>
      </w:r>
      <w:r w:rsidR="00AD7263">
        <w:rPr>
          <w:rFonts w:ascii="Times New Roman" w:hAnsi="Times New Roman"/>
          <w:b/>
          <w:color w:val="000000"/>
        </w:rPr>
        <w:t>CWC</w:t>
      </w:r>
      <w:r w:rsidR="00041757" w:rsidRPr="003A13A3">
        <w:rPr>
          <w:rFonts w:ascii="Times New Roman" w:hAnsi="Times New Roman"/>
          <w:b/>
          <w:color w:val="000000"/>
        </w:rPr>
        <w:t xml:space="preserve">): </w:t>
      </w:r>
      <w:r>
        <w:rPr>
          <w:rFonts w:ascii="Times New Roman" w:hAnsi="Times New Roman"/>
          <w:color w:val="000000"/>
        </w:rPr>
        <w:t>Конвенција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забрани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развоја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производње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складиштења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употребе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хемијског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његовом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уништавању</w:t>
      </w:r>
      <w:r w:rsidR="00041757" w:rsidRPr="003A13A3">
        <w:rPr>
          <w:rFonts w:ascii="Times New Roman" w:hAnsi="Times New Roman"/>
          <w:color w:val="000000"/>
        </w:rPr>
        <w:t>(</w:t>
      </w:r>
      <w:r w:rsidR="00AD7263">
        <w:rPr>
          <w:rFonts w:ascii="Times New Roman" w:hAnsi="Times New Roman"/>
          <w:color w:val="000000"/>
        </w:rPr>
        <w:t>CWC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формални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међународни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режим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спречавање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ширења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хемијског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циљем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њиховог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елиминисања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Конвенција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хемијском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оружју</w:t>
      </w:r>
      <w:r w:rsidR="00041757" w:rsidRPr="003A13A3">
        <w:rPr>
          <w:rFonts w:ascii="Times New Roman" w:hAnsi="Times New Roman"/>
          <w:color w:val="000000"/>
        </w:rPr>
        <w:t>(</w:t>
      </w:r>
      <w:r w:rsidR="00AD7263">
        <w:rPr>
          <w:rFonts w:ascii="Times New Roman" w:hAnsi="Times New Roman"/>
          <w:color w:val="000000"/>
        </w:rPr>
        <w:t>CWC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забрањује</w:t>
      </w:r>
      <w:r w:rsidR="00041757" w:rsidRPr="003A13A3">
        <w:rPr>
          <w:rFonts w:ascii="Times New Roman" w:hAnsi="Times New Roman"/>
          <w:color w:val="000000"/>
        </w:rPr>
        <w:t xml:space="preserve"> „</w:t>
      </w:r>
      <w:r>
        <w:rPr>
          <w:rFonts w:ascii="Times New Roman" w:hAnsi="Times New Roman"/>
          <w:color w:val="000000"/>
          <w:shd w:val="clear" w:color="auto" w:fill="FFFFFF"/>
        </w:rPr>
        <w:t>развој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производњу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набавку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складиштење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држање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пренос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употребу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хемијског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оружја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”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Конвенција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хемијском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оружју</w:t>
      </w:r>
      <w:r w:rsidR="00041757" w:rsidRPr="003A13A3">
        <w:rPr>
          <w:rFonts w:ascii="Times New Roman" w:hAnsi="Times New Roman"/>
          <w:color w:val="000000"/>
        </w:rPr>
        <w:t xml:space="preserve"> (</w:t>
      </w:r>
      <w:r w:rsidR="00AD7263">
        <w:rPr>
          <w:rFonts w:ascii="Times New Roman" w:hAnsi="Times New Roman"/>
          <w:color w:val="000000"/>
        </w:rPr>
        <w:t>CWC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извршна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овлашћења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Организације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забрану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хемијског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чланице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морају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придржавати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одредаба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конвенције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спроводити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их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14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Главни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службеник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усклађеност</w:t>
      </w:r>
      <w:r w:rsidR="00041757" w:rsidRPr="003A13A3">
        <w:rPr>
          <w:rFonts w:ascii="Times New Roman" w:hAnsi="Times New Roman"/>
          <w:b/>
          <w:color w:val="000000"/>
        </w:rPr>
        <w:t>(</w:t>
      </w:r>
      <w:r w:rsidR="006B1647">
        <w:rPr>
          <w:rFonts w:ascii="Times New Roman" w:hAnsi="Times New Roman"/>
          <w:b/>
          <w:color w:val="000000"/>
        </w:rPr>
        <w:t>CCO</w:t>
      </w:r>
      <w:r w:rsidR="00041757" w:rsidRPr="003A13A3">
        <w:rPr>
          <w:rFonts w:ascii="Times New Roman" w:hAnsi="Times New Roman"/>
          <w:b/>
          <w:color w:val="000000"/>
        </w:rPr>
        <w:t>)/</w:t>
      </w:r>
      <w:r>
        <w:rPr>
          <w:rFonts w:ascii="Times New Roman" w:hAnsi="Times New Roman"/>
          <w:b/>
          <w:color w:val="000000"/>
        </w:rPr>
        <w:t>Администратор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Програма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интерне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усклађености</w:t>
      </w:r>
      <w:r w:rsidR="00041757" w:rsidRPr="003A13A3">
        <w:rPr>
          <w:rFonts w:ascii="Times New Roman" w:hAnsi="Times New Roman"/>
          <w:b/>
          <w:color w:val="000000"/>
        </w:rPr>
        <w:t xml:space="preserve"> (</w:t>
      </w:r>
      <w:r w:rsidR="006B1647">
        <w:rPr>
          <w:rFonts w:ascii="Times New Roman" w:hAnsi="Times New Roman"/>
          <w:b/>
          <w:color w:val="000000"/>
        </w:rPr>
        <w:t>ICPA</w:t>
      </w:r>
      <w:r w:rsidR="00041757" w:rsidRPr="003A13A3">
        <w:rPr>
          <w:rFonts w:ascii="Times New Roman" w:hAnsi="Times New Roman"/>
          <w:b/>
          <w:color w:val="000000"/>
        </w:rPr>
        <w:t>)</w:t>
      </w:r>
      <w:r w:rsidR="009F5C99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Именовани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службеник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унутар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привредног</w:t>
      </w:r>
      <w:r w:rsidR="00635B4F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друштва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овлашћен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надгледа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Програм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интерне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усклађености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главни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одговорни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управљање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политикама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процедурама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кадровима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активностима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привредном</w:t>
      </w:r>
      <w:r w:rsidR="00635B4F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друштву</w:t>
      </w:r>
      <w:r w:rsidR="00635B4F" w:rsidRPr="003A13A3">
        <w:rPr>
          <w:rFonts w:ascii="Times New Roman" w:hAnsi="Times New Roman"/>
          <w:color w:val="000000"/>
        </w:rPr>
        <w:t xml:space="preserve"> 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области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спољне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робом</w:t>
      </w:r>
      <w:r w:rsidR="00041757" w:rsidRPr="003A13A3">
        <w:rPr>
          <w:rFonts w:ascii="Times New Roman" w:hAnsi="Times New Roman"/>
          <w:color w:val="000000"/>
        </w:rPr>
        <w:t>.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Комерцијална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фактура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Детаљан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списак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отпремљене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обично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документацију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извозника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15"/>
      </w:r>
    </w:p>
    <w:p w:rsidR="00E16800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lang w:val="sr-Latn-RS"/>
        </w:rPr>
        <w:t>Национална</w:t>
      </w:r>
      <w:r w:rsidR="00E41D23" w:rsidRPr="003A13A3">
        <w:rPr>
          <w:rFonts w:ascii="Times New Roman" w:hAnsi="Times New Roman"/>
          <w:b/>
          <w:color w:val="000000"/>
          <w:lang w:val="sr-Latn-RS"/>
        </w:rPr>
        <w:t xml:space="preserve"> </w:t>
      </w:r>
      <w:r>
        <w:rPr>
          <w:rFonts w:ascii="Times New Roman" w:hAnsi="Times New Roman"/>
          <w:b/>
          <w:color w:val="000000"/>
        </w:rPr>
        <w:t>контролна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листа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робе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двоструке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намене</w:t>
      </w:r>
      <w:r w:rsidR="00E41D23" w:rsidRPr="003A13A3">
        <w:rPr>
          <w:rFonts w:ascii="Times New Roman" w:hAnsi="Times New Roman"/>
          <w:b/>
          <w:color w:val="000000"/>
        </w:rPr>
        <w:t>(</w:t>
      </w:r>
      <w:r>
        <w:rPr>
          <w:rFonts w:ascii="Times New Roman" w:hAnsi="Times New Roman"/>
          <w:b/>
          <w:color w:val="000000"/>
        </w:rPr>
        <w:t>НКЛ</w:t>
      </w:r>
      <w:r w:rsidR="00E41D23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РДН</w:t>
      </w:r>
      <w:r w:rsidR="00E41D23" w:rsidRPr="003A13A3">
        <w:rPr>
          <w:rFonts w:ascii="Times New Roman" w:hAnsi="Times New Roman"/>
          <w:b/>
          <w:color w:val="000000"/>
        </w:rPr>
        <w:t>)</w:t>
      </w:r>
      <w:r w:rsidR="009F5C99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Листа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двоструке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усвојена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Одлуком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владе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усаглашена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одговарајућом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листом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Европске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Уније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16"/>
      </w:r>
    </w:p>
    <w:p w:rsidR="00E41D23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lang w:val="sr-Latn-RS"/>
        </w:rPr>
        <w:t>Национална</w:t>
      </w:r>
      <w:r w:rsidR="00E41D23" w:rsidRPr="003A13A3">
        <w:rPr>
          <w:rFonts w:ascii="Times New Roman" w:hAnsi="Times New Roman"/>
          <w:b/>
          <w:color w:val="000000"/>
          <w:lang w:val="sr-Latn-RS"/>
        </w:rPr>
        <w:t xml:space="preserve"> </w:t>
      </w:r>
      <w:r>
        <w:rPr>
          <w:rFonts w:ascii="Times New Roman" w:hAnsi="Times New Roman"/>
          <w:b/>
          <w:color w:val="000000"/>
        </w:rPr>
        <w:t>контролна</w:t>
      </w:r>
      <w:r w:rsidR="00E41D23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листа</w:t>
      </w:r>
      <w:r w:rsidR="00E41D23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наоружања</w:t>
      </w:r>
      <w:r w:rsidR="00E41D23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</w:t>
      </w:r>
      <w:r w:rsidR="00E41D23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војне</w:t>
      </w:r>
      <w:r w:rsidR="00E41D23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опреме</w:t>
      </w:r>
      <w:r w:rsidR="00E41D23" w:rsidRPr="003A13A3">
        <w:rPr>
          <w:rFonts w:ascii="Times New Roman" w:hAnsi="Times New Roman"/>
          <w:b/>
          <w:color w:val="000000"/>
        </w:rPr>
        <w:t>(</w:t>
      </w:r>
      <w:r>
        <w:rPr>
          <w:rFonts w:ascii="Times New Roman" w:hAnsi="Times New Roman"/>
          <w:b/>
          <w:color w:val="000000"/>
        </w:rPr>
        <w:t>НКЛ</w:t>
      </w:r>
      <w:r w:rsidR="00E41D23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НВО</w:t>
      </w:r>
      <w:r w:rsidR="00E41D23" w:rsidRPr="003A13A3">
        <w:rPr>
          <w:rFonts w:ascii="Times New Roman" w:hAnsi="Times New Roman"/>
          <w:b/>
          <w:color w:val="000000"/>
        </w:rPr>
        <w:t>)</w:t>
      </w:r>
      <w:r w:rsidR="00E41D23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Листа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војне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опреме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усвојена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Одлуком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владе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усаглашена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одговарајућом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листом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Европске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Уније</w:t>
      </w:r>
      <w:r w:rsidR="00E41D23" w:rsidRPr="003A13A3">
        <w:rPr>
          <w:rFonts w:ascii="Times New Roman" w:hAnsi="Times New Roman"/>
          <w:color w:val="000000"/>
        </w:rPr>
        <w:t>.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Прималац</w:t>
      </w:r>
      <w:r w:rsidR="009F5C99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Крајњи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прималац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лице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коме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шаље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остати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примаоца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случају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прималац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пак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прослеђена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даље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крајњем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кориснику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постојати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неколико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посредних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прималаца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помажу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прослеђивању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у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случају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када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он</w:t>
      </w:r>
      <w:r w:rsidR="00E41D23" w:rsidRPr="003A13A3">
        <w:rPr>
          <w:rFonts w:ascii="Times New Roman" w:hAnsi="Times New Roman"/>
          <w:color w:val="000000"/>
        </w:rPr>
        <w:t xml:space="preserve"> 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прималац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17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Пошиљалац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Лице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шаље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другом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лицу</w:t>
      </w:r>
      <w:r w:rsidR="00041757" w:rsidRPr="003A13A3">
        <w:rPr>
          <w:rFonts w:ascii="Times New Roman" w:hAnsi="Times New Roman"/>
          <w:color w:val="000000"/>
        </w:rPr>
        <w:t>;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18"/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лице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доставља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посреднику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19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Конвенционална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роба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двоструке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намене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двоструке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конвенционалну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војну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безбедносну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примену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Конвенционална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двоструке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налази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двоструке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Васенарског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аранжмана</w:t>
      </w:r>
      <w:r w:rsidR="00041757" w:rsidRPr="003A13A3">
        <w:rPr>
          <w:rFonts w:ascii="Times New Roman" w:hAnsi="Times New Roman"/>
          <w:color w:val="000000"/>
        </w:rPr>
        <w:t>.</w:t>
      </w:r>
    </w:p>
    <w:p w:rsidR="00AC49F0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Корелациона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табела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Табела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настоји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повеже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шифарске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ознаке</w:t>
      </w:r>
      <w:r w:rsidR="00663054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663054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663054" w:rsidRPr="003A13A3">
        <w:rPr>
          <w:rFonts w:ascii="Times New Roman" w:hAnsi="Times New Roman"/>
          <w:color w:val="000000"/>
        </w:rPr>
        <w:t xml:space="preserve"> </w:t>
      </w:r>
      <w:r w:rsidR="00EB5D93">
        <w:rPr>
          <w:rFonts w:ascii="Times New Roman" w:hAnsi="Times New Roman"/>
          <w:color w:val="000000"/>
          <w:lang w:val="en-US"/>
        </w:rPr>
        <w:t>HS</w:t>
      </w:r>
      <w:r w:rsidR="00663054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663054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бројевима</w:t>
      </w:r>
      <w:r w:rsidR="00663054" w:rsidRPr="003A13A3">
        <w:rPr>
          <w:rFonts w:ascii="Times New Roman" w:hAnsi="Times New Roman"/>
          <w:color w:val="000000"/>
        </w:rPr>
        <w:t xml:space="preserve"> </w:t>
      </w:r>
      <w:r w:rsidR="00EB5D93">
        <w:rPr>
          <w:rFonts w:ascii="Times New Roman" w:hAnsi="Times New Roman"/>
          <w:color w:val="000000"/>
        </w:rPr>
        <w:t>ECN</w:t>
      </w:r>
      <w:r w:rsidR="00663054" w:rsidRPr="003A13A3">
        <w:rPr>
          <w:rFonts w:ascii="Times New Roman" w:hAnsi="Times New Roman"/>
          <w:color w:val="000000"/>
        </w:rPr>
        <w:t>,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 w:rsidR="00EB5D93">
        <w:rPr>
          <w:rFonts w:ascii="Times New Roman" w:hAnsi="Times New Roman"/>
          <w:color w:val="000000"/>
        </w:rPr>
        <w:t>CCN</w:t>
      </w:r>
      <w:r w:rsidR="00663054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 w:rsidR="00EB5D93">
        <w:rPr>
          <w:rFonts w:ascii="Times New Roman" w:hAnsi="Times New Roman"/>
          <w:color w:val="000000"/>
        </w:rPr>
        <w:t>ECCN</w:t>
      </w:r>
      <w:r w:rsidR="00041757" w:rsidRPr="003A13A3">
        <w:rPr>
          <w:rFonts w:ascii="Times New Roman" w:hAnsi="Times New Roman"/>
          <w:color w:val="000000"/>
        </w:rPr>
        <w:t xml:space="preserve">. </w:t>
      </w:r>
    </w:p>
    <w:p w:rsidR="00AC49F0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Земља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порекла</w:t>
      </w:r>
      <w:r w:rsidR="00041757" w:rsidRPr="003A13A3">
        <w:rPr>
          <w:rFonts w:ascii="Times New Roman" w:hAnsi="Times New Roman"/>
          <w:b/>
          <w:color w:val="000000"/>
        </w:rPr>
        <w:t xml:space="preserve">:  </w:t>
      </w:r>
      <w:r>
        <w:rPr>
          <w:rFonts w:ascii="Times New Roman" w:hAnsi="Times New Roman"/>
          <w:color w:val="000000"/>
        </w:rPr>
        <w:t>Земља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извози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Надлежни</w:t>
      </w:r>
      <w:r w:rsidR="00663054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порекла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надлежни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одобравање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извоза</w:t>
      </w:r>
      <w:r w:rsidR="00041757" w:rsidRPr="003A13A3">
        <w:rPr>
          <w:rFonts w:ascii="Times New Roman" w:hAnsi="Times New Roman"/>
          <w:color w:val="000000"/>
        </w:rPr>
        <w:t>.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Потврда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достави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робе</w:t>
      </w:r>
      <w:r w:rsidR="00041757" w:rsidRPr="003A13A3">
        <w:rPr>
          <w:rFonts w:ascii="Times New Roman" w:hAnsi="Times New Roman"/>
          <w:b/>
          <w:color w:val="000000"/>
        </w:rPr>
        <w:t>(</w:t>
      </w:r>
      <w:r w:rsidR="00EB5D93">
        <w:rPr>
          <w:rFonts w:ascii="Times New Roman" w:hAnsi="Times New Roman"/>
          <w:b/>
          <w:color w:val="000000"/>
        </w:rPr>
        <w:t>DVC</w:t>
      </w:r>
      <w:r w:rsidR="00041757" w:rsidRPr="003A13A3">
        <w:rPr>
          <w:rFonts w:ascii="Times New Roman" w:hAnsi="Times New Roman"/>
          <w:b/>
          <w:color w:val="000000"/>
        </w:rPr>
        <w:t xml:space="preserve">): </w:t>
      </w:r>
      <w:r w:rsidR="00041757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Документ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издају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крајњег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одредишта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након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изврши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Физичка</w:t>
      </w:r>
      <w:r w:rsidR="000E137C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односно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правна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лица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којима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је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одбијен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захтев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издавање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дозволе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  <w:shd w:val="clear" w:color="auto" w:fill="FFFFFF"/>
        </w:rPr>
        <w:t>Физичка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односно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правна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лица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којима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је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ускраћено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право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на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извоз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од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стране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надлежних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органа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датој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земљи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На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ова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физичка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односно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правна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лица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могу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примењивати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унилатералне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међународне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санкције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/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ембарго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Одредиште</w:t>
      </w:r>
      <w:r w:rsidR="00041757" w:rsidRPr="003A13A3">
        <w:rPr>
          <w:rFonts w:ascii="Times New Roman" w:hAnsi="Times New Roman"/>
          <w:b/>
          <w:color w:val="000000"/>
        </w:rPr>
        <w:t xml:space="preserve">:  </w:t>
      </w:r>
      <w:r>
        <w:rPr>
          <w:rFonts w:ascii="Times New Roman" w:hAnsi="Times New Roman"/>
          <w:color w:val="000000"/>
        </w:rPr>
        <w:t>Страна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локација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пошиљка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шаље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20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Развој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  <w:shd w:val="clear" w:color="auto" w:fill="FFFFFF"/>
        </w:rPr>
        <w:t>Односи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на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„</w:t>
      </w:r>
      <w:r>
        <w:rPr>
          <w:rFonts w:ascii="Times New Roman" w:hAnsi="Times New Roman"/>
          <w:color w:val="000000"/>
          <w:shd w:val="clear" w:color="auto" w:fill="FFFFFF"/>
        </w:rPr>
        <w:t>све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фазе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које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претходе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серијској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производњи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као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што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hd w:val="clear" w:color="auto" w:fill="FFFFFF"/>
        </w:rPr>
        <w:t>пројектовање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пројектно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истраживање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анализе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пројекта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идејни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пројекат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склапање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испитивање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прототипа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планови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пилот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производње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подаци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пројекту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поступак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претварања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пројектних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података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производ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пројекат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конфигурације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пројекат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интеграције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нацрти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“.</w:t>
      </w:r>
      <w:r w:rsidR="00041757" w:rsidRPr="003A13A3">
        <w:rPr>
          <w:rStyle w:val="EndnoteReference"/>
          <w:rFonts w:ascii="Times New Roman" w:hAnsi="Times New Roman"/>
          <w:color w:val="000000"/>
          <w:shd w:val="clear" w:color="auto" w:fill="FFFFFF"/>
        </w:rPr>
        <w:endnoteReference w:id="21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Дистрибутери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 w:rsidR="00041757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Агент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продаје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добављача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велепродаји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обично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залихе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добављача</w:t>
      </w:r>
      <w:r w:rsidR="00041757" w:rsidRPr="003A13A3">
        <w:rPr>
          <w:rFonts w:ascii="Times New Roman" w:hAnsi="Times New Roman"/>
          <w:color w:val="000000"/>
        </w:rPr>
        <w:t>“;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22"/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Предузеће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седиштем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иностранству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ради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уговору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извозника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другом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тржишту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Дистрибутер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увози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директно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извозника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потреби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обавља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маркетиншке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активности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продаје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сервиса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промоције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дистрибуције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23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Брокерске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услуге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земљи</w:t>
      </w:r>
      <w:r w:rsidR="00041757" w:rsidRPr="003A13A3">
        <w:rPr>
          <w:rFonts w:ascii="Times New Roman" w:hAnsi="Times New Roman"/>
          <w:color w:val="000000"/>
        </w:rPr>
        <w:t xml:space="preserve">:  </w:t>
      </w:r>
      <w:r>
        <w:rPr>
          <w:rFonts w:ascii="Times New Roman" w:hAnsi="Times New Roman"/>
          <w:color w:val="000000"/>
        </w:rPr>
        <w:t>Брокерске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обављају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искључиво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матичној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земљи</w:t>
      </w:r>
      <w:r w:rsidR="00041757" w:rsidRPr="003A13A3"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при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чему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брокер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држављанин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лице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пријављено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пребивалиште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ради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увоза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поновног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транзита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сродних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услуга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било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где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другде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24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Роба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двоструке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намене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користити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легитимне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цивилне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такође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допринесе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конструисању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развоју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производњи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прављењу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склапању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раду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употреби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поправци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тестирању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набавци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масовно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уништење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конвенционалног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оружја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Енкрипција</w:t>
      </w:r>
      <w:r w:rsidR="006B72C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или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шифрирање</w:t>
      </w:r>
      <w:r w:rsidR="00041757" w:rsidRPr="003A13A3">
        <w:rPr>
          <w:rFonts w:ascii="Times New Roman" w:hAnsi="Times New Roman"/>
          <w:b/>
          <w:color w:val="000000"/>
        </w:rPr>
        <w:t>:</w:t>
      </w:r>
      <w:r w:rsidR="006B72CD" w:rsidRPr="003A13A3">
        <w:rPr>
          <w:rFonts w:ascii="Times New Roman" w:hAnsi="Times New Roman"/>
          <w:color w:val="000000"/>
        </w:rPr>
        <w:t xml:space="preserve"> „</w:t>
      </w:r>
      <w:r>
        <w:rPr>
          <w:rFonts w:ascii="Times New Roman" w:hAnsi="Times New Roman"/>
          <w:color w:val="000000"/>
        </w:rPr>
        <w:t>Енкрипција</w:t>
      </w:r>
      <w:r w:rsidR="006B72C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шифрирање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претварање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електронских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података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други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облик</w:t>
      </w:r>
      <w:r w:rsidR="006B72CD" w:rsidRPr="003A13A3">
        <w:rPr>
          <w:rFonts w:ascii="Times New Roman" w:hAnsi="Times New Roman"/>
          <w:color w:val="000000"/>
        </w:rPr>
        <w:t>,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назива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шифрирани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текст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нико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овлашћених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лако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разуме</w:t>
      </w:r>
      <w:r w:rsidR="00041757" w:rsidRPr="003A13A3">
        <w:rPr>
          <w:rFonts w:ascii="Times New Roman" w:hAnsi="Times New Roman"/>
          <w:color w:val="000000"/>
        </w:rPr>
        <w:t>.“</w:t>
      </w:r>
      <w:r w:rsidR="00041757" w:rsidRPr="003A13A3">
        <w:rPr>
          <w:rStyle w:val="EndnoteReference"/>
          <w:rFonts w:ascii="Times New Roman" w:hAnsi="Times New Roman"/>
          <w:color w:val="000000"/>
        </w:rPr>
        <w:t xml:space="preserve"> 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25"/>
      </w:r>
      <w:r w:rsidR="00041757" w:rsidRPr="003A13A3">
        <w:rPr>
          <w:rFonts w:ascii="Times New Roman" w:hAnsi="Times New Roman"/>
          <w:color w:val="000000"/>
        </w:rPr>
        <w:t xml:space="preserve">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Крајња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намена</w:t>
      </w:r>
      <w:r w:rsidR="00041757" w:rsidRPr="003A13A3">
        <w:rPr>
          <w:rFonts w:ascii="Times New Roman" w:hAnsi="Times New Roman"/>
          <w:color w:val="000000"/>
        </w:rPr>
        <w:t>: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 w:rsidR="00041757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Детаљан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опис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начина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прималац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намерава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извози</w:t>
      </w:r>
      <w:r w:rsidR="00041757" w:rsidRPr="003A13A3">
        <w:rPr>
          <w:rFonts w:ascii="Times New Roman" w:hAnsi="Times New Roman"/>
          <w:color w:val="000000"/>
        </w:rPr>
        <w:t>.“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26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Провера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крајње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намене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Физичка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провера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обично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након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слања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којом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осигурава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извезена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налази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месту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навеле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начин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описан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изјави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намени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Непоштовање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услова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захтева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утврђених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дозволи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последицу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имати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казнене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мере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повећану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укључених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страна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27"/>
      </w:r>
      <w:r w:rsidR="00041757" w:rsidRPr="003A13A3">
        <w:rPr>
          <w:rFonts w:ascii="Times New Roman" w:hAnsi="Times New Roman"/>
          <w:color w:val="000000"/>
        </w:rPr>
        <w:t xml:space="preserve">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Провера</w:t>
      </w:r>
      <w:r w:rsidR="00F444A9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или</w:t>
      </w:r>
      <w:r w:rsidR="00F444A9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скрининг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крајње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намене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Интерни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механизми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предузећа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проверу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потенцијалних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купаца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осигурало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цивилне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сврхе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неће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коришћена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активностима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масовно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уништење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конвенционалним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наоружањем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28"/>
      </w:r>
      <w:r w:rsidR="00041757" w:rsidRPr="003A13A3">
        <w:rPr>
          <w:rFonts w:ascii="Times New Roman" w:hAnsi="Times New Roman"/>
          <w:color w:val="000000"/>
        </w:rPr>
        <w:t xml:space="preserve">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Изјава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крајњој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намени</w:t>
      </w:r>
      <w:r w:rsidR="006B72CD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Документ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купује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мора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прибави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попуни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достави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извознику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надлежном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издавање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дозволе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Такве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изјаве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углавном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захтевају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наведе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место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коме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предузеће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налази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одредиште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производа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детаљне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податке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званичним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заступницима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предузећа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крајњу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цивилну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војну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општу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изјаву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сврси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извоза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29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Крајњи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корисник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 w:rsidR="00041757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Лице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иностранству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извезене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поновно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извезене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Крајњи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шпедитер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посредник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купац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прималац</w:t>
      </w:r>
      <w:r w:rsidR="00041757" w:rsidRPr="003A13A3">
        <w:rPr>
          <w:rFonts w:ascii="Times New Roman" w:hAnsi="Times New Roman"/>
          <w:color w:val="000000"/>
        </w:rPr>
        <w:t>.”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30"/>
      </w:r>
    </w:p>
    <w:p w:rsidR="00AC49F0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Сертификат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крајњег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корисника</w:t>
      </w:r>
      <w:r w:rsidR="00041757" w:rsidRPr="003A13A3">
        <w:rPr>
          <w:rFonts w:ascii="Times New Roman" w:hAnsi="Times New Roman"/>
          <w:b/>
          <w:color w:val="000000"/>
        </w:rPr>
        <w:t>(</w:t>
      </w:r>
      <w:r w:rsidR="00727418">
        <w:rPr>
          <w:rFonts w:ascii="Times New Roman" w:hAnsi="Times New Roman"/>
          <w:b/>
          <w:color w:val="000000"/>
        </w:rPr>
        <w:t>EUC</w:t>
      </w:r>
      <w:r w:rsidR="00041757" w:rsidRPr="003A13A3">
        <w:rPr>
          <w:rFonts w:ascii="Times New Roman" w:hAnsi="Times New Roman"/>
          <w:b/>
          <w:color w:val="000000"/>
        </w:rPr>
        <w:t>)</w:t>
      </w:r>
      <w:r w:rsidR="00041757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Сертификат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крајњег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корисника</w:t>
      </w:r>
      <w:r w:rsidR="00041757" w:rsidRPr="003A13A3">
        <w:rPr>
          <w:rFonts w:ascii="Times New Roman" w:hAnsi="Times New Roman"/>
          <w:color w:val="000000"/>
        </w:rPr>
        <w:t>(</w:t>
      </w:r>
      <w:r w:rsidR="00727418">
        <w:rPr>
          <w:rFonts w:ascii="Times New Roman" w:hAnsi="Times New Roman"/>
          <w:color w:val="000000"/>
        </w:rPr>
        <w:t>EUC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документ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увоза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попуњава</w:t>
      </w:r>
      <w:r w:rsidR="00966B16" w:rsidRPr="003A13A3">
        <w:rPr>
          <w:rFonts w:ascii="Times New Roman" w:hAnsi="Times New Roman"/>
          <w:color w:val="000000"/>
        </w:rPr>
        <w:t>,</w:t>
      </w:r>
      <w:r w:rsidR="0072741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</w:t>
      </w:r>
      <w:r w:rsidR="0072741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надфоверава</w:t>
      </w:r>
      <w:r w:rsidR="00966B1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га</w:t>
      </w:r>
      <w:r w:rsidR="00966B1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</w:t>
      </w:r>
      <w:r w:rsidR="00966B1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966B1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тој</w:t>
      </w:r>
      <w:r w:rsidR="00966B1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земљи</w:t>
      </w:r>
      <w:r w:rsidR="00966B1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надлежна</w:t>
      </w:r>
      <w:r w:rsidR="00966B1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966B1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издавање</w:t>
      </w:r>
      <w:r w:rsidR="00966B1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дозволе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доставља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извознику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потом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подноси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захтев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издавање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дозволе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надлежном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извоза</w:t>
      </w:r>
      <w:r w:rsidR="00041757" w:rsidRPr="003A13A3">
        <w:rPr>
          <w:rFonts w:ascii="Times New Roman" w:hAnsi="Times New Roman"/>
          <w:color w:val="000000"/>
        </w:rPr>
        <w:t>.</w:t>
      </w:r>
      <w:r w:rsidR="0072741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Пракса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различита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углавном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727418">
        <w:rPr>
          <w:rFonts w:ascii="Times New Roman" w:hAnsi="Times New Roman"/>
          <w:color w:val="000000"/>
        </w:rPr>
        <w:t>EUC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садржи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детаље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њену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вредност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количину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8B561A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странама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укљученим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нарочито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кориснику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Он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такође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наводи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садржи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обавезу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крајњег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неће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поново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извозити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дату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одобрења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обавештења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извоза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 w:rsidR="00727418">
        <w:rPr>
          <w:rFonts w:ascii="Times New Roman" w:hAnsi="Times New Roman"/>
          <w:color w:val="000000"/>
        </w:rPr>
        <w:t>EUC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изјаве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користе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спречавање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преусмеравања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неовлашћених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неовлашћене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намене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31"/>
      </w:r>
      <w:r w:rsidR="00041757" w:rsidRPr="003A13A3">
        <w:rPr>
          <w:rFonts w:ascii="Times New Roman" w:hAnsi="Times New Roman"/>
          <w:color w:val="000000"/>
        </w:rPr>
        <w:t xml:space="preserve">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Крајњи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корисник</w:t>
      </w:r>
      <w:r w:rsidR="00041757" w:rsidRPr="003A13A3">
        <w:rPr>
          <w:rFonts w:ascii="Times New Roman" w:hAnsi="Times New Roman"/>
          <w:b/>
          <w:color w:val="000000"/>
        </w:rPr>
        <w:t>/</w:t>
      </w:r>
      <w:r>
        <w:rPr>
          <w:rFonts w:ascii="Times New Roman" w:hAnsi="Times New Roman"/>
          <w:b/>
          <w:color w:val="000000"/>
        </w:rPr>
        <w:t>ци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који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изазивају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забринутост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Појединци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привредни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субјекти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владе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8B561A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8B561A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налазе</w:t>
      </w:r>
      <w:r w:rsidR="008B561A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међународним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регионалним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националним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санкцијама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ограничењима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ембаргом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војну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опрему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Крајњи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корисници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изазивају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забринутост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обухватају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подлежу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ембаргу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војну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опрему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Уједињених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нација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ОЕБС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појединци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привредни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субјекти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Савет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безбедности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означио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примењују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ограничења</w:t>
      </w:r>
      <w:r w:rsidR="00041757" w:rsidRPr="003A13A3">
        <w:rPr>
          <w:rFonts w:ascii="Times New Roman" w:hAnsi="Times New Roman"/>
          <w:color w:val="000000"/>
        </w:rPr>
        <w:t xml:space="preserve">. </w:t>
      </w:r>
    </w:p>
    <w:p w:rsidR="00AC49F0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Планирање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ресурса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предузећа</w:t>
      </w:r>
      <w:r w:rsidR="00041757" w:rsidRPr="003A13A3">
        <w:rPr>
          <w:rFonts w:ascii="Times New Roman" w:hAnsi="Times New Roman"/>
          <w:b/>
          <w:color w:val="000000"/>
        </w:rPr>
        <w:t>(</w:t>
      </w:r>
      <w:r w:rsidR="00F43499">
        <w:rPr>
          <w:rFonts w:ascii="Times New Roman" w:hAnsi="Times New Roman"/>
          <w:b/>
          <w:color w:val="000000"/>
        </w:rPr>
        <w:t>ERP</w:t>
      </w:r>
      <w:r w:rsidR="00041757" w:rsidRPr="003A13A3">
        <w:rPr>
          <w:rFonts w:ascii="Times New Roman" w:hAnsi="Times New Roman"/>
          <w:b/>
          <w:color w:val="000000"/>
        </w:rPr>
        <w:t>)</w:t>
      </w:r>
      <w:r w:rsidR="008B561A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Програми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предузећа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користе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управљање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стварима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производња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дистрибуција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рачуноводство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финансије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људски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ресурси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Упркос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њиховој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способности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поједноставе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проблеме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претходно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набројаним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областима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ти</w:t>
      </w:r>
      <w:r w:rsidR="008B561A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програми</w:t>
      </w:r>
      <w:r w:rsidR="008B561A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често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нису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могућности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правилно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спољне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робом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захтевају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посебне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јединствене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програме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односно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софтвер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самосталне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модуле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могу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функционишу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спрези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F43499">
        <w:rPr>
          <w:rFonts w:ascii="Times New Roman" w:hAnsi="Times New Roman"/>
          <w:color w:val="000000"/>
        </w:rPr>
        <w:t>ERP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системом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32"/>
      </w:r>
      <w:r w:rsidR="00041757" w:rsidRPr="003A13A3">
        <w:rPr>
          <w:rFonts w:ascii="Times New Roman" w:hAnsi="Times New Roman"/>
          <w:color w:val="000000"/>
        </w:rPr>
        <w:t xml:space="preserve">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Заједничка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листа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наоружања</w:t>
      </w:r>
      <w:r w:rsidR="00966B16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</w:t>
      </w:r>
      <w:r w:rsidR="00966B16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војне</w:t>
      </w:r>
      <w:r w:rsidR="00966B16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опреме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Европске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уније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Заједничка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листа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966B1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966B1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војне</w:t>
      </w:r>
      <w:r w:rsidR="00966B1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опреме</w:t>
      </w:r>
      <w:r w:rsidR="00966B16" w:rsidRPr="003A13A3">
        <w:rPr>
          <w:rFonts w:ascii="Times New Roman" w:hAnsi="Times New Roman"/>
          <w:color w:val="000000"/>
        </w:rPr>
        <w:t xml:space="preserve"> 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Европске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уније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</w:t>
      </w:r>
      <w:r w:rsidR="008B561A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први</w:t>
      </w:r>
      <w:r w:rsidR="008B561A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пут</w:t>
      </w:r>
      <w:r w:rsidR="008B561A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усвојена</w:t>
      </w:r>
      <w:r w:rsidR="008B561A" w:rsidRPr="003A13A3">
        <w:rPr>
          <w:rFonts w:ascii="Times New Roman" w:hAnsi="Times New Roman"/>
          <w:color w:val="000000"/>
        </w:rPr>
        <w:t xml:space="preserve"> 2000. </w:t>
      </w:r>
      <w:r>
        <w:rPr>
          <w:rFonts w:ascii="Times New Roman" w:hAnsi="Times New Roman"/>
          <w:color w:val="000000"/>
        </w:rPr>
        <w:t>године</w:t>
      </w:r>
      <w:r w:rsidR="008B561A" w:rsidRPr="003A13A3">
        <w:rPr>
          <w:rFonts w:ascii="Times New Roman" w:hAnsi="Times New Roman"/>
          <w:color w:val="000000"/>
        </w:rPr>
        <w:t>,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последњи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пут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ажурирана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марту</w:t>
      </w:r>
      <w:r w:rsidR="008B7563">
        <w:rPr>
          <w:rFonts w:ascii="Times New Roman" w:hAnsi="Times New Roman"/>
          <w:color w:val="000000"/>
        </w:rPr>
        <w:t xml:space="preserve"> </w:t>
      </w:r>
      <w:r w:rsidR="00041757" w:rsidRPr="003A13A3">
        <w:rPr>
          <w:rFonts w:ascii="Times New Roman" w:hAnsi="Times New Roman"/>
          <w:color w:val="000000"/>
        </w:rPr>
        <w:t>20</w:t>
      </w:r>
      <w:r w:rsidR="00966B16" w:rsidRPr="003A13A3">
        <w:rPr>
          <w:rFonts w:ascii="Times New Roman" w:hAnsi="Times New Roman"/>
          <w:color w:val="000000"/>
        </w:rPr>
        <w:t>20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године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представља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листу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војне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опреме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подлеже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складу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Кодексом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понашања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оружја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33"/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налази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Заједничкој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војне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великој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мери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подударна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оном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означеном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војне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опреме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Васенарског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аранжмана</w:t>
      </w:r>
      <w:r w:rsidR="00041757" w:rsidRPr="003A13A3">
        <w:rPr>
          <w:rFonts w:ascii="Times New Roman" w:hAnsi="Times New Roman"/>
          <w:color w:val="000000"/>
        </w:rPr>
        <w:t xml:space="preserve"> (</w:t>
      </w:r>
      <w:r w:rsidR="008B7563">
        <w:rPr>
          <w:rFonts w:ascii="Times New Roman" w:hAnsi="Times New Roman"/>
          <w:color w:val="000000"/>
        </w:rPr>
        <w:t>WAML</w:t>
      </w:r>
      <w:r w:rsidR="00041757" w:rsidRPr="003A13A3">
        <w:rPr>
          <w:rFonts w:ascii="Times New Roman" w:hAnsi="Times New Roman"/>
          <w:color w:val="000000"/>
        </w:rPr>
        <w:t>).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Листа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робе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двоструке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намене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Европске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уније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Листа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двоструке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8B561A" w:rsidRPr="003A13A3">
        <w:rPr>
          <w:rFonts w:ascii="Times New Roman" w:hAnsi="Times New Roman"/>
          <w:color w:val="000000"/>
        </w:rPr>
        <w:t>–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софтвер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8B561A" w:rsidRPr="003A13A3">
        <w:rPr>
          <w:rFonts w:ascii="Times New Roman" w:hAnsi="Times New Roman"/>
          <w:color w:val="000000"/>
        </w:rPr>
        <w:t>–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подлеже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спољне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оквиру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Европске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уније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ЕУ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врши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транзита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брокерских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услуга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дату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кључни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инструмент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доприноси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међународним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напорима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пољу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међународне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безбедности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неширења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34"/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Наведена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великој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мери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подударна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двоструке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означеном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мултилатералним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режимима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8B561A" w:rsidRPr="003A13A3">
        <w:rPr>
          <w:rFonts w:ascii="Times New Roman" w:hAnsi="Times New Roman"/>
          <w:color w:val="000000"/>
        </w:rPr>
        <w:t>–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Групи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нуклеарних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снабдевача</w:t>
      </w:r>
      <w:r w:rsidR="00041757" w:rsidRPr="003A13A3">
        <w:rPr>
          <w:rFonts w:ascii="Times New Roman" w:hAnsi="Times New Roman"/>
          <w:color w:val="000000"/>
        </w:rPr>
        <w:t>(</w:t>
      </w:r>
      <w:r w:rsidR="008B7563">
        <w:rPr>
          <w:rFonts w:ascii="Times New Roman" w:hAnsi="Times New Roman"/>
          <w:color w:val="000000"/>
        </w:rPr>
        <w:t>NSG</w:t>
      </w:r>
      <w:r w:rsidR="00041757" w:rsidRPr="003A13A3"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color w:val="000000"/>
        </w:rPr>
        <w:t>Аустралијској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групи</w:t>
      </w:r>
      <w:r w:rsidR="00041757" w:rsidRPr="003A13A3">
        <w:rPr>
          <w:rFonts w:ascii="Times New Roman" w:hAnsi="Times New Roman"/>
          <w:color w:val="000000"/>
        </w:rPr>
        <w:t>(</w:t>
      </w:r>
      <w:r w:rsidR="008B7563">
        <w:rPr>
          <w:rFonts w:ascii="Times New Roman" w:hAnsi="Times New Roman"/>
          <w:color w:val="000000"/>
        </w:rPr>
        <w:t>AG</w:t>
      </w:r>
      <w:r w:rsidR="00041757" w:rsidRPr="003A13A3"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color w:val="000000"/>
        </w:rPr>
        <w:t>Режиму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ракетне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технологије</w:t>
      </w:r>
      <w:r w:rsidR="00041757" w:rsidRPr="003A13A3">
        <w:rPr>
          <w:rFonts w:ascii="Times New Roman" w:hAnsi="Times New Roman"/>
          <w:color w:val="000000"/>
        </w:rPr>
        <w:t>(</w:t>
      </w:r>
      <w:r w:rsidR="00587EB9">
        <w:rPr>
          <w:rFonts w:ascii="Times New Roman" w:hAnsi="Times New Roman"/>
          <w:color w:val="000000"/>
        </w:rPr>
        <w:t>MTCR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Васенарском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аражману</w:t>
      </w:r>
      <w:r w:rsidR="00041757" w:rsidRPr="003A13A3">
        <w:rPr>
          <w:rFonts w:ascii="Times New Roman" w:hAnsi="Times New Roman"/>
          <w:color w:val="000000"/>
        </w:rPr>
        <w:t>(</w:t>
      </w:r>
      <w:r w:rsidR="00587EB9">
        <w:rPr>
          <w:rFonts w:ascii="Times New Roman" w:hAnsi="Times New Roman"/>
          <w:color w:val="000000"/>
        </w:rPr>
        <w:t>VA</w:t>
      </w:r>
      <w:r w:rsidR="00041757" w:rsidRPr="003A13A3">
        <w:rPr>
          <w:rFonts w:ascii="Times New Roman" w:hAnsi="Times New Roman"/>
          <w:color w:val="000000"/>
        </w:rPr>
        <w:t xml:space="preserve">). </w:t>
      </w:r>
      <w:r>
        <w:rPr>
          <w:rFonts w:ascii="Times New Roman" w:hAnsi="Times New Roman"/>
          <w:color w:val="000000"/>
        </w:rPr>
        <w:t>Листа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двоструке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последњи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пут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ажурирана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децембру</w:t>
      </w:r>
      <w:r w:rsidR="00041757" w:rsidRPr="003A13A3">
        <w:rPr>
          <w:rFonts w:ascii="Times New Roman" w:hAnsi="Times New Roman"/>
          <w:color w:val="000000"/>
        </w:rPr>
        <w:t xml:space="preserve"> 201</w:t>
      </w:r>
      <w:r w:rsidR="00966B16" w:rsidRPr="003A13A3">
        <w:rPr>
          <w:rFonts w:ascii="Times New Roman" w:hAnsi="Times New Roman"/>
          <w:color w:val="000000"/>
        </w:rPr>
        <w:t>9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године</w:t>
      </w:r>
      <w:r w:rsidR="00041757" w:rsidRPr="003A13A3">
        <w:rPr>
          <w:rFonts w:ascii="Times New Roman" w:hAnsi="Times New Roman"/>
          <w:color w:val="000000"/>
        </w:rPr>
        <w:t>.</w:t>
      </w:r>
    </w:p>
    <w:p w:rsidR="00041757" w:rsidRPr="003A13A3" w:rsidRDefault="005B7DFA" w:rsidP="00966B16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Експлозиви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 w:rsidR="00041757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  <w:shd w:val="clear" w:color="auto" w:fill="FFFFFF"/>
        </w:rPr>
        <w:t>Чврсте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течне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гасовите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супстанце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смеше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које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морају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да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експлодирају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када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користе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као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примарна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стартна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главна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пуњења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бојевим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главама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приликом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рушења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другим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применама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.“</w:t>
      </w:r>
      <w:r w:rsidR="00041757" w:rsidRPr="003A13A3">
        <w:rPr>
          <w:rStyle w:val="EndnoteReference"/>
          <w:rFonts w:ascii="Times New Roman" w:hAnsi="Times New Roman"/>
          <w:color w:val="000000"/>
          <w:shd w:val="clear" w:color="auto" w:fill="FFFFFF"/>
        </w:rPr>
        <w:endnoteReference w:id="35"/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</w:p>
    <w:p w:rsidR="005B7DFA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Вантериторијалне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контроле</w:t>
      </w:r>
      <w:r w:rsidR="00041757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Одредбе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националног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законодавства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омогућавају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влади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спроводи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надлежности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држављанима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лицима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сталним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пребивалиштем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регистрованим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привредним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друштвима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обављају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активности</w:t>
      </w:r>
      <w:r w:rsidR="00041757" w:rsidRPr="003A13A3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>делатност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иностранству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36"/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Примери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вантериторијалних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активности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владе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могу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одлучити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регулишу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брокерске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услуге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повезане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активности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сродне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услуге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поновни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поновни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транфер</w:t>
      </w:r>
      <w:r w:rsidR="00CD2EA3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тј</w:t>
      </w:r>
      <w:r w:rsidR="00CD2EA3" w:rsidRPr="003A13A3">
        <w:rPr>
          <w:rFonts w:ascii="Times New Roman" w:hAnsi="Times New Roman"/>
          <w:color w:val="000000"/>
        </w:rPr>
        <w:t>.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пренос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трећој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страни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37"/>
      </w:r>
      <w:r w:rsidR="00041757" w:rsidRPr="003A13A3">
        <w:rPr>
          <w:rFonts w:ascii="Times New Roman" w:hAnsi="Times New Roman"/>
          <w:color w:val="000000"/>
        </w:rPr>
        <w:t xml:space="preserve"> </w:t>
      </w:r>
    </w:p>
    <w:p w:rsidR="005B7DFA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Готови</w:t>
      </w:r>
      <w:r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производи</w:t>
      </w:r>
      <w:r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Роба</w:t>
      </w:r>
      <w:r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односно</w:t>
      </w:r>
      <w:r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технологија</w:t>
      </w:r>
      <w:r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чији</w:t>
      </w:r>
      <w:r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производни</w:t>
      </w:r>
      <w:r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процес</w:t>
      </w:r>
      <w:r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завршен</w:t>
      </w:r>
      <w:r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али</w:t>
      </w:r>
      <w:r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још</w:t>
      </w:r>
      <w:r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није</w:t>
      </w:r>
      <w:r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продата</w:t>
      </w:r>
      <w:r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дистрибуирана</w:t>
      </w:r>
      <w:r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крајњем</w:t>
      </w:r>
      <w:r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кориснику</w:t>
      </w:r>
      <w:r w:rsidRPr="003A13A3">
        <w:rPr>
          <w:rFonts w:ascii="Times New Roman" w:hAnsi="Times New Roman"/>
          <w:color w:val="000000"/>
        </w:rPr>
        <w:t xml:space="preserve">. 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Шпедитер</w:t>
      </w:r>
      <w:r w:rsidR="00041757" w:rsidRPr="003A13A3">
        <w:rPr>
          <w:rFonts w:ascii="Times New Roman" w:hAnsi="Times New Roman"/>
          <w:b/>
          <w:color w:val="000000"/>
        </w:rPr>
        <w:t>:</w:t>
      </w:r>
      <w:r w:rsidR="00041757" w:rsidRPr="003A13A3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Правно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физичко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лице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организује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пошиљке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поступа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агент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пошиљаоца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транспорт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произвођача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крајњег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крајњег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одредишта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обухвата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обављање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активности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праћење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транспорта</w:t>
      </w:r>
      <w:r w:rsidR="00041757" w:rsidRPr="003A13A3">
        <w:rPr>
          <w:rFonts w:ascii="Times New Roman" w:hAnsi="Times New Roman"/>
          <w:color w:val="000000"/>
        </w:rPr>
        <w:t xml:space="preserve">/ </w:t>
      </w:r>
      <w:r>
        <w:rPr>
          <w:rFonts w:ascii="Times New Roman" w:hAnsi="Times New Roman"/>
          <w:color w:val="000000"/>
        </w:rPr>
        <w:t>превоза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припрема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документације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складиштење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чување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преговарање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трошкова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консолидација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терета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осигурање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услуге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обезбеђења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услуге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одредишту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подношење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захтева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накнаду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штете</w:t>
      </w:r>
      <w:r w:rsidR="00041757" w:rsidRPr="003A13A3">
        <w:rPr>
          <w:rFonts w:ascii="Times New Roman" w:hAnsi="Times New Roman"/>
          <w:color w:val="000000"/>
        </w:rPr>
        <w:t xml:space="preserve">.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Фундаментално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истраживање</w:t>
      </w:r>
      <w:r w:rsidR="00FA4A39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Основно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примењено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истраживање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науци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техници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обично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спроводи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изводи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акредитованим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академским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установама</w:t>
      </w:r>
      <w:r w:rsidR="00041757" w:rsidRPr="003A13A3"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color w:val="000000"/>
        </w:rPr>
        <w:t>где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добијени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подаци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обично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објављују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широм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научном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заједницом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Фундаментално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истраживање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разликује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истраживања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резултат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информације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приступ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ограничен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разлога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интелектуалне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својине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разлога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националне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безбедности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стога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подлеже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спољне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робом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Опште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или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глобалне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дозволе</w:t>
      </w:r>
      <w:r w:rsidR="00041757" w:rsidRPr="003A13A3">
        <w:rPr>
          <w:rFonts w:ascii="Times New Roman" w:hAnsi="Times New Roman"/>
          <w:b/>
          <w:color w:val="000000"/>
        </w:rPr>
        <w:t>(</w:t>
      </w:r>
      <w:r>
        <w:rPr>
          <w:rFonts w:ascii="Times New Roman" w:hAnsi="Times New Roman"/>
          <w:b/>
          <w:color w:val="000000"/>
        </w:rPr>
        <w:t>ЕУ</w:t>
      </w:r>
      <w:r w:rsidR="00041757" w:rsidRPr="003A13A3">
        <w:rPr>
          <w:rFonts w:ascii="Times New Roman" w:hAnsi="Times New Roman"/>
          <w:b/>
          <w:color w:val="000000"/>
        </w:rPr>
        <w:t xml:space="preserve">): </w:t>
      </w:r>
      <w:r>
        <w:rPr>
          <w:rFonts w:ascii="Times New Roman" w:hAnsi="Times New Roman"/>
          <w:color w:val="000000"/>
          <w:shd w:val="clear" w:color="auto" w:fill="FFFFFF"/>
        </w:rPr>
        <w:t>Дозвола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која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омогућава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предузећу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да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обавља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</w:rPr>
        <w:t>више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више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артикала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односно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производа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током</w:t>
      </w:r>
      <w:r w:rsidR="00FA4A39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одређеног</w:t>
      </w:r>
      <w:r w:rsidR="00FA4A39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временског</w:t>
      </w:r>
      <w:r w:rsidR="00FA4A39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периода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оквиру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једне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дозволе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38"/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Те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врсте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дозвола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представљају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већи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ризик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од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преусмеравања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односу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на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појединачне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дозволе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али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Програм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интерне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усклађености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може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да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смањи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тај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ризик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пружи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конкретне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користи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индустрији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.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Шифарска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ознака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Хармонизованог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система</w:t>
      </w:r>
      <w:r w:rsidR="00041757" w:rsidRPr="003A13A3">
        <w:rPr>
          <w:rFonts w:ascii="Times New Roman" w:hAnsi="Times New Roman"/>
          <w:b/>
          <w:color w:val="000000"/>
        </w:rPr>
        <w:t>(</w:t>
      </w:r>
      <w:r w:rsidR="003A20AB">
        <w:rPr>
          <w:rFonts w:ascii="Times New Roman" w:hAnsi="Times New Roman"/>
          <w:b/>
          <w:color w:val="000000"/>
        </w:rPr>
        <w:t>HS</w:t>
      </w:r>
      <w:r w:rsidR="00041757" w:rsidRPr="003A13A3">
        <w:rPr>
          <w:rFonts w:ascii="Times New Roman" w:hAnsi="Times New Roman"/>
          <w:b/>
          <w:color w:val="000000"/>
        </w:rPr>
        <w:t xml:space="preserve">): </w:t>
      </w:r>
      <w:r>
        <w:rPr>
          <w:rFonts w:ascii="Times New Roman" w:hAnsi="Times New Roman"/>
          <w:color w:val="000000"/>
        </w:rPr>
        <w:t>Шестоцифарска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стандардизована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нумеричка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метода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класификације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односно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разврставања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тргује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 w:rsidR="003A20AB">
        <w:rPr>
          <w:rFonts w:ascii="Times New Roman" w:hAnsi="Times New Roman"/>
          <w:color w:val="000000"/>
        </w:rPr>
        <w:t>HS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шифре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користе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царински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широм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света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идентификовали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производе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примењују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царинске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дажбине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порези</w:t>
      </w:r>
      <w:r w:rsidR="00041757" w:rsidRPr="003A13A3">
        <w:rPr>
          <w:rFonts w:ascii="Times New Roman" w:hAnsi="Times New Roman"/>
          <w:color w:val="000000"/>
        </w:rPr>
        <w:t xml:space="preserve">.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Појединачна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дозвола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Врста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дозволе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контролисану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којом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одобрава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једна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354D42" w:rsidRPr="003A13A3">
        <w:rPr>
          <w:rFonts w:ascii="Times New Roman" w:hAnsi="Times New Roman"/>
          <w:color w:val="000000"/>
        </w:rPr>
        <w:t>–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специфична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једног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извозника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једног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примаоца</w:t>
      </w:r>
      <w:r w:rsidR="00041757" w:rsidRPr="003A13A3">
        <w:rPr>
          <w:rFonts w:ascii="Times New Roman" w:hAnsi="Times New Roman"/>
          <w:color w:val="000000"/>
        </w:rPr>
        <w:t xml:space="preserve">.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Безбедност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података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 w:rsidR="00041757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Сва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средства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функције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обезбеђују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доступност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поверљивост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целовитост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података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комуникација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искључујући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средства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функције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намењене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заштити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неисправности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обухвата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криптографију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криптографску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активацију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криптоанализу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заштиту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угрожавајуће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еманације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рачунарску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безбедност</w:t>
      </w:r>
      <w:r w:rsidR="00041757" w:rsidRPr="003A13A3">
        <w:rPr>
          <w:rFonts w:ascii="Times New Roman" w:hAnsi="Times New Roman"/>
          <w:color w:val="000000"/>
        </w:rPr>
        <w:t>.”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39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Невидљиви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трансфер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технологија</w:t>
      </w:r>
      <w:r w:rsidR="00041757" w:rsidRPr="003A13A3">
        <w:rPr>
          <w:rFonts w:ascii="Times New Roman" w:hAnsi="Times New Roman"/>
          <w:b/>
          <w:color w:val="000000"/>
        </w:rPr>
        <w:t>(</w:t>
      </w:r>
      <w:r w:rsidR="003A20AB">
        <w:rPr>
          <w:rFonts w:ascii="Times New Roman" w:hAnsi="Times New Roman"/>
          <w:b/>
          <w:color w:val="000000"/>
        </w:rPr>
        <w:t>ITT</w:t>
      </w:r>
      <w:r w:rsidR="00041757" w:rsidRPr="003A13A3">
        <w:rPr>
          <w:rFonts w:ascii="Times New Roman" w:hAnsi="Times New Roman"/>
          <w:b/>
          <w:color w:val="000000"/>
        </w:rPr>
        <w:t xml:space="preserve">): </w:t>
      </w:r>
      <w:r>
        <w:rPr>
          <w:rFonts w:ascii="Times New Roman" w:hAnsi="Times New Roman"/>
          <w:color w:val="000000"/>
        </w:rPr>
        <w:t>Трансфер</w:t>
      </w:r>
      <w:r w:rsidR="00354D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пренос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контролисане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FA4A39">
        <w:rPr>
          <w:rFonts w:ascii="Times New Roman" w:hAnsi="Times New Roman"/>
          <w:i/>
          <w:color w:val="000000"/>
        </w:rPr>
        <w:t>kno</w:t>
      </w:r>
      <w:r w:rsidR="00041757" w:rsidRPr="003A13A3">
        <w:rPr>
          <w:rFonts w:ascii="Times New Roman" w:hAnsi="Times New Roman"/>
          <w:i/>
          <w:color w:val="000000"/>
        </w:rPr>
        <w:t>w-</w:t>
      </w:r>
      <w:r w:rsidR="00FA4A39">
        <w:rPr>
          <w:rFonts w:ascii="Times New Roman" w:hAnsi="Times New Roman"/>
          <w:i/>
          <w:color w:val="000000"/>
        </w:rPr>
        <w:t>ho</w:t>
      </w:r>
      <w:r w:rsidR="00041757" w:rsidRPr="003A13A3">
        <w:rPr>
          <w:rFonts w:ascii="Times New Roman" w:hAnsi="Times New Roman"/>
          <w:i/>
          <w:color w:val="000000"/>
        </w:rPr>
        <w:t>w</w:t>
      </w:r>
      <w:r w:rsidR="00354D42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знања</w:t>
      </w:r>
      <w:r w:rsidR="00354D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354D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вештина</w:t>
      </w:r>
      <w:r w:rsidR="00354D42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нефизичким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средствима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електронским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визуелним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усменим</w:t>
      </w:r>
      <w:r w:rsidR="00041757" w:rsidRPr="003A13A3">
        <w:rPr>
          <w:rFonts w:ascii="Times New Roman" w:hAnsi="Times New Roman"/>
          <w:color w:val="000000"/>
        </w:rPr>
        <w:t xml:space="preserve">); </w:t>
      </w:r>
      <w:r>
        <w:rPr>
          <w:rFonts w:ascii="Times New Roman" w:hAnsi="Times New Roman"/>
          <w:color w:val="000000"/>
        </w:rPr>
        <w:t>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укључује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достављање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техничких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детаља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3A20AB">
        <w:rPr>
          <w:rFonts w:ascii="Times New Roman" w:hAnsi="Times New Roman"/>
          <w:color w:val="000000"/>
          <w:lang w:val="sr-Cyrl-CS"/>
        </w:rPr>
        <w:t>ш</w:t>
      </w:r>
      <w:r>
        <w:rPr>
          <w:rFonts w:ascii="Times New Roman" w:hAnsi="Times New Roman"/>
          <w:color w:val="000000"/>
        </w:rPr>
        <w:t>ема</w:t>
      </w:r>
      <w:r w:rsidR="00041757" w:rsidRPr="003A13A3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>дијаграма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пројеката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лекција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сличног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FA4A39">
        <w:rPr>
          <w:rFonts w:ascii="Times New Roman" w:hAnsi="Times New Roman"/>
          <w:i/>
          <w:color w:val="000000"/>
        </w:rPr>
        <w:t>kno</w:t>
      </w:r>
      <w:r w:rsidR="00FA4A39" w:rsidRPr="003A13A3">
        <w:rPr>
          <w:rFonts w:ascii="Times New Roman" w:hAnsi="Times New Roman"/>
          <w:i/>
          <w:color w:val="000000"/>
        </w:rPr>
        <w:t>w-</w:t>
      </w:r>
      <w:r w:rsidR="00FA4A39">
        <w:rPr>
          <w:rFonts w:ascii="Times New Roman" w:hAnsi="Times New Roman"/>
          <w:i/>
          <w:color w:val="000000"/>
        </w:rPr>
        <w:t>ho</w:t>
      </w:r>
      <w:r w:rsidR="00FA4A39" w:rsidRPr="003A13A3">
        <w:rPr>
          <w:rFonts w:ascii="Times New Roman" w:hAnsi="Times New Roman"/>
          <w:i/>
          <w:color w:val="000000"/>
        </w:rPr>
        <w:t>w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кроз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образовање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путем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интернета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40"/>
      </w:r>
      <w:r w:rsidR="00041757" w:rsidRPr="003A13A3">
        <w:rPr>
          <w:rFonts w:ascii="Times New Roman" w:hAnsi="Times New Roman"/>
          <w:color w:val="000000"/>
        </w:rPr>
        <w:t xml:space="preserve">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Посредни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прималац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bCs/>
          <w:color w:val="000000"/>
        </w:rPr>
        <w:t>Банка</w:t>
      </w:r>
      <w:r w:rsidR="00041757" w:rsidRPr="003A13A3">
        <w:rPr>
          <w:rFonts w:ascii="Times New Roman" w:hAnsi="Times New Roman"/>
          <w:bCs/>
          <w:color w:val="000000"/>
        </w:rPr>
        <w:t xml:space="preserve">, </w:t>
      </w:r>
      <w:r>
        <w:rPr>
          <w:rFonts w:ascii="Times New Roman" w:hAnsi="Times New Roman"/>
          <w:bCs/>
          <w:color w:val="000000"/>
        </w:rPr>
        <w:t>шпедитер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или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други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посредник</w:t>
      </w:r>
      <w:r w:rsidR="00041757" w:rsidRPr="003A13A3">
        <w:rPr>
          <w:rFonts w:ascii="Times New Roman" w:hAnsi="Times New Roman"/>
          <w:bCs/>
          <w:color w:val="000000"/>
        </w:rPr>
        <w:t>(</w:t>
      </w:r>
      <w:r>
        <w:rPr>
          <w:rFonts w:ascii="Times New Roman" w:hAnsi="Times New Roman"/>
          <w:bCs/>
          <w:color w:val="000000"/>
        </w:rPr>
        <w:t>ако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га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има</w:t>
      </w:r>
      <w:r w:rsidR="00041757" w:rsidRPr="003A13A3">
        <w:rPr>
          <w:rFonts w:ascii="Times New Roman" w:hAnsi="Times New Roman"/>
          <w:bCs/>
          <w:color w:val="000000"/>
        </w:rPr>
        <w:t xml:space="preserve">) </w:t>
      </w:r>
      <w:r>
        <w:rPr>
          <w:rFonts w:ascii="Times New Roman" w:hAnsi="Times New Roman"/>
          <w:bCs/>
          <w:color w:val="000000"/>
        </w:rPr>
        <w:t>који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у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страној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држави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делује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као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агент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извозника</w:t>
      </w:r>
      <w:r w:rsidR="00041757" w:rsidRPr="003A13A3">
        <w:rPr>
          <w:rFonts w:ascii="Times New Roman" w:hAnsi="Times New Roman"/>
          <w:bCs/>
          <w:color w:val="000000"/>
        </w:rPr>
        <w:t xml:space="preserve">, </w:t>
      </w:r>
      <w:r>
        <w:rPr>
          <w:rFonts w:ascii="Times New Roman" w:hAnsi="Times New Roman"/>
          <w:bCs/>
          <w:color w:val="000000"/>
        </w:rPr>
        <w:t>купца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или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крајњег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примаоца</w:t>
      </w:r>
      <w:r w:rsidR="00041757" w:rsidRPr="003A13A3">
        <w:rPr>
          <w:rFonts w:ascii="Times New Roman" w:hAnsi="Times New Roman"/>
          <w:bCs/>
          <w:color w:val="000000"/>
        </w:rPr>
        <w:t xml:space="preserve">, </w:t>
      </w:r>
      <w:r>
        <w:rPr>
          <w:rFonts w:ascii="Times New Roman" w:hAnsi="Times New Roman"/>
          <w:bCs/>
          <w:color w:val="000000"/>
        </w:rPr>
        <w:t>са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циљем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постизања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испоруке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извезене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робе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крајњем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примаоцу</w:t>
      </w:r>
      <w:r w:rsidR="00041757" w:rsidRPr="003A13A3">
        <w:rPr>
          <w:rFonts w:ascii="Times New Roman" w:hAnsi="Times New Roman"/>
          <w:bCs/>
          <w:color w:val="000000"/>
        </w:rPr>
        <w:t xml:space="preserve">.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Интермодални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транспорт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Превоз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различитим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средствима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нпр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бродом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железницом</w:t>
      </w:r>
      <w:r w:rsidR="00041757" w:rsidRPr="003A13A3">
        <w:rPr>
          <w:rFonts w:ascii="Times New Roman" w:hAnsi="Times New Roman"/>
          <w:color w:val="000000"/>
        </w:rPr>
        <w:t>).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41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Програм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интерне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усклађености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такође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познат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Програм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интерне</w:t>
      </w:r>
      <w:r w:rsidR="00DD61DC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контроле</w:t>
      </w:r>
      <w:r w:rsidR="00041757" w:rsidRPr="003A13A3">
        <w:rPr>
          <w:rFonts w:ascii="Times New Roman" w:hAnsi="Times New Roman"/>
          <w:color w:val="000000"/>
        </w:rPr>
        <w:t>(</w:t>
      </w:r>
      <w:r w:rsidR="00FA4A39">
        <w:rPr>
          <w:rFonts w:ascii="Times New Roman" w:hAnsi="Times New Roman"/>
          <w:color w:val="000000"/>
          <w:lang w:val="en-US"/>
        </w:rPr>
        <w:t>ICP</w:t>
      </w:r>
      <w:r w:rsidR="00041757" w:rsidRPr="003A13A3">
        <w:rPr>
          <w:rFonts w:ascii="Times New Roman" w:hAnsi="Times New Roman"/>
          <w:color w:val="000000"/>
        </w:rPr>
        <w:t xml:space="preserve">); </w:t>
      </w:r>
      <w:r>
        <w:rPr>
          <w:rFonts w:ascii="Times New Roman" w:hAnsi="Times New Roman"/>
          <w:color w:val="000000"/>
        </w:rPr>
        <w:t>Програм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интерне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усклађености</w:t>
      </w:r>
      <w:r w:rsidR="00041757" w:rsidRPr="003A13A3">
        <w:rPr>
          <w:rFonts w:ascii="Times New Roman" w:hAnsi="Times New Roman"/>
          <w:color w:val="000000"/>
        </w:rPr>
        <w:t>(</w:t>
      </w:r>
      <w:r w:rsidR="00FA4A39">
        <w:rPr>
          <w:rFonts w:ascii="Times New Roman" w:hAnsi="Times New Roman"/>
          <w:color w:val="000000"/>
        </w:rPr>
        <w:t>ICP</w:t>
      </w:r>
      <w:r w:rsidR="00041757" w:rsidRPr="003A13A3">
        <w:rPr>
          <w:rFonts w:ascii="Times New Roman" w:hAnsi="Times New Roman"/>
          <w:color w:val="000000"/>
        </w:rPr>
        <w:t>)</w:t>
      </w:r>
      <w:r w:rsidR="00FA4A39">
        <w:rPr>
          <w:rFonts w:ascii="Times New Roman" w:hAnsi="Times New Roman"/>
          <w:color w:val="000000"/>
        </w:rPr>
        <w:t>)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скуп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интерних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пракси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привредни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субјекти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усвајају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омогућили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усклађеност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захтевима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области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спољне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робом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Програм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интерне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усклађености</w:t>
      </w:r>
      <w:r w:rsidR="00041757" w:rsidRPr="003A13A3">
        <w:rPr>
          <w:rFonts w:ascii="Times New Roman" w:hAnsi="Times New Roman"/>
          <w:color w:val="000000"/>
        </w:rPr>
        <w:t>(</w:t>
      </w:r>
      <w:r w:rsidR="00FA4A39">
        <w:rPr>
          <w:rFonts w:ascii="Times New Roman" w:hAnsi="Times New Roman"/>
          <w:color w:val="000000"/>
        </w:rPr>
        <w:t>ICP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представља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низ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оперативних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правила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процедура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усклађеност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писане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смернице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привредно</w:t>
      </w:r>
      <w:r w:rsidR="00DA7BF8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друштво</w:t>
      </w:r>
      <w:r w:rsidR="00DA7BF8" w:rsidRPr="003A13A3">
        <w:rPr>
          <w:rFonts w:ascii="Times New Roman" w:hAnsi="Times New Roman"/>
          <w:color w:val="000000"/>
        </w:rPr>
        <w:t xml:space="preserve"> 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примењује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свело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минимум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ризик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кршења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Сврха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овог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програма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обезбеди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доследно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доносе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одговарајуће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одлуке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трансакцијама</w:t>
      </w:r>
      <w:r w:rsidR="00041757" w:rsidRPr="003A13A3">
        <w:rPr>
          <w:rFonts w:ascii="Times New Roman" w:hAnsi="Times New Roman"/>
          <w:color w:val="000000"/>
        </w:rPr>
        <w:t xml:space="preserve">;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запослени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упознати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својим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одговорностима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обавезама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области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спољне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робом</w:t>
      </w:r>
      <w:r w:rsidR="00041757" w:rsidRPr="003A13A3">
        <w:rPr>
          <w:rFonts w:ascii="Times New Roman" w:hAnsi="Times New Roman"/>
          <w:color w:val="000000"/>
        </w:rPr>
        <w:t xml:space="preserve">;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поштују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одговарајуће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процедуре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постављају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питања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осигурало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трансфери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обављају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складу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националним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законодавством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прописима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области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спољне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робом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стога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најбољем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интересу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привредног</w:t>
      </w:r>
      <w:r w:rsidR="00DA7BF8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друштва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Интерни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програми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усклађености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скуп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дефинисаних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процедура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службеници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привредног</w:t>
      </w:r>
      <w:r w:rsidR="00DA7BF8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друштва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морају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испуне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него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неки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изађе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привредног</w:t>
      </w:r>
      <w:r w:rsidR="00DA7BF8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друштва</w:t>
      </w:r>
      <w:r w:rsidR="00041757" w:rsidRPr="003A13A3">
        <w:rPr>
          <w:rFonts w:ascii="Times New Roman" w:hAnsi="Times New Roman"/>
          <w:color w:val="000000"/>
        </w:rPr>
        <w:t>.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Администратор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Програма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интерне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усклађености</w:t>
      </w:r>
      <w:r w:rsidR="00041757" w:rsidRPr="003A13A3">
        <w:rPr>
          <w:rFonts w:ascii="Times New Roman" w:hAnsi="Times New Roman"/>
          <w:b/>
          <w:color w:val="000000"/>
        </w:rPr>
        <w:t>(</w:t>
      </w:r>
      <w:r w:rsidR="00FA4A39">
        <w:rPr>
          <w:rFonts w:ascii="Times New Roman" w:hAnsi="Times New Roman"/>
          <w:b/>
          <w:color w:val="000000"/>
        </w:rPr>
        <w:t>ICP</w:t>
      </w:r>
      <w:r w:rsidR="00041757" w:rsidRPr="003A13A3">
        <w:rPr>
          <w:rFonts w:ascii="Times New Roman" w:hAnsi="Times New Roman"/>
          <w:b/>
          <w:color w:val="000000"/>
        </w:rPr>
        <w:t>)</w:t>
      </w:r>
      <w:r w:rsidR="00DD61DC" w:rsidRPr="003A13A3">
        <w:rPr>
          <w:rFonts w:ascii="Times New Roman" w:hAnsi="Times New Roman"/>
          <w:b/>
          <w:color w:val="000000"/>
        </w:rPr>
        <w:t>/</w:t>
      </w:r>
      <w:r>
        <w:rPr>
          <w:rFonts w:ascii="Times New Roman" w:hAnsi="Times New Roman"/>
          <w:b/>
          <w:color w:val="000000"/>
        </w:rPr>
        <w:t>главни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службеник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усклађеност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именовани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службеник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унутар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привредног</w:t>
      </w:r>
      <w:r w:rsidR="00DA7BF8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друштвакоји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овлашћен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надгледа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Програм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интерне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усклађености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главни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одговорни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управљање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политикама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процедурама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кадровима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активностима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привредном</w:t>
      </w:r>
      <w:r w:rsidR="00DA7BF8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друштву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области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спољне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робом</w:t>
      </w:r>
      <w:r w:rsidR="00041757" w:rsidRPr="003A13A3">
        <w:rPr>
          <w:rFonts w:ascii="Times New Roman" w:hAnsi="Times New Roman"/>
          <w:color w:val="000000"/>
        </w:rPr>
        <w:t>.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Међународна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агенција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атомску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енергију</w:t>
      </w:r>
      <w:r w:rsidR="00041757" w:rsidRPr="003A13A3">
        <w:rPr>
          <w:rFonts w:ascii="Times New Roman" w:hAnsi="Times New Roman"/>
          <w:b/>
          <w:color w:val="000000"/>
        </w:rPr>
        <w:t>(</w:t>
      </w:r>
      <w:r>
        <w:rPr>
          <w:rFonts w:ascii="Times New Roman" w:hAnsi="Times New Roman"/>
          <w:b/>
          <w:color w:val="000000"/>
        </w:rPr>
        <w:t>МААЕ</w:t>
      </w:r>
      <w:r w:rsidR="00041757" w:rsidRPr="003A13A3">
        <w:rPr>
          <w:rFonts w:ascii="Times New Roman" w:hAnsi="Times New Roman"/>
          <w:b/>
          <w:color w:val="000000"/>
        </w:rPr>
        <w:t xml:space="preserve">): </w:t>
      </w:r>
      <w:r>
        <w:rPr>
          <w:rFonts w:ascii="Times New Roman" w:hAnsi="Times New Roman"/>
          <w:color w:val="000000"/>
        </w:rPr>
        <w:t>МААЕ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регулаторно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тело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Споразум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неширењу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нуклеарног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041757" w:rsidRPr="003A13A3">
        <w:rPr>
          <w:rFonts w:ascii="Times New Roman" w:hAnsi="Times New Roman"/>
          <w:color w:val="000000"/>
        </w:rPr>
        <w:t>(</w:t>
      </w:r>
      <w:r w:rsidR="0055448D">
        <w:rPr>
          <w:rFonts w:ascii="Times New Roman" w:hAnsi="Times New Roman"/>
          <w:color w:val="000000"/>
        </w:rPr>
        <w:t>NPT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специјализована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агенција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служи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главна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међународна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организација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одговорна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примену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гарантија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осигурало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нуклеарног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енг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 w:rsidR="0055448D">
        <w:rPr>
          <w:rFonts w:ascii="Times New Roman" w:hAnsi="Times New Roman"/>
          <w:color w:val="000000"/>
        </w:rPr>
        <w:t>non</w:t>
      </w:r>
      <w:r w:rsidR="00041757" w:rsidRPr="003A13A3">
        <w:rPr>
          <w:rFonts w:ascii="Times New Roman" w:hAnsi="Times New Roman"/>
          <w:color w:val="000000"/>
        </w:rPr>
        <w:t>-</w:t>
      </w:r>
      <w:r w:rsidR="0055448D">
        <w:rPr>
          <w:rFonts w:ascii="Times New Roman" w:hAnsi="Times New Roman"/>
          <w:color w:val="000000"/>
        </w:rPr>
        <w:t>nuclear</w:t>
      </w:r>
      <w:r w:rsidR="00041757" w:rsidRPr="003A13A3">
        <w:rPr>
          <w:rFonts w:ascii="Times New Roman" w:hAnsi="Times New Roman"/>
          <w:color w:val="000000"/>
        </w:rPr>
        <w:t xml:space="preserve"> w</w:t>
      </w:r>
      <w:r w:rsidR="0055448D">
        <w:rPr>
          <w:rFonts w:ascii="Times New Roman" w:hAnsi="Times New Roman"/>
          <w:color w:val="000000"/>
        </w:rPr>
        <w:t>eapons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55448D">
        <w:rPr>
          <w:rFonts w:ascii="Times New Roman" w:hAnsi="Times New Roman"/>
          <w:color w:val="000000"/>
        </w:rPr>
        <w:t>states</w:t>
      </w:r>
      <w:r w:rsidR="00041757" w:rsidRPr="003A13A3">
        <w:rPr>
          <w:rFonts w:ascii="Times New Roman" w:hAnsi="Times New Roman"/>
          <w:color w:val="000000"/>
        </w:rPr>
        <w:t xml:space="preserve"> - </w:t>
      </w:r>
      <w:r w:rsidR="0055448D">
        <w:rPr>
          <w:rFonts w:ascii="Times New Roman" w:hAnsi="Times New Roman"/>
          <w:color w:val="000000"/>
        </w:rPr>
        <w:t>NN</w:t>
      </w:r>
      <w:r w:rsidR="00041757" w:rsidRPr="003A13A3">
        <w:rPr>
          <w:rFonts w:ascii="Times New Roman" w:hAnsi="Times New Roman"/>
          <w:color w:val="000000"/>
        </w:rPr>
        <w:t>W</w:t>
      </w:r>
      <w:r w:rsidR="0055448D">
        <w:rPr>
          <w:rFonts w:ascii="Times New Roman" w:hAnsi="Times New Roman"/>
          <w:color w:val="000000"/>
        </w:rPr>
        <w:t>S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преусмеравају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пошиљке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осетљиве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нуклеарне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опреме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мирољубивих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производњу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нуклеарног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Гарантије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су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техничка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средства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која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примењује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МААЕ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како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би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потврдила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да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се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нуклеарна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опрема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или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материјали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користе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искључиво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у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мирољубиве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сврхе</w:t>
      </w:r>
      <w:r w:rsidR="00041757" w:rsidRPr="003A13A3">
        <w:rPr>
          <w:rStyle w:val="apple-converted-space"/>
          <w:rFonts w:ascii="Times New Roman" w:hAnsi="Times New Roman"/>
          <w:bCs/>
          <w:color w:val="000000"/>
        </w:rPr>
        <w:t xml:space="preserve">. </w:t>
      </w:r>
      <w:r>
        <w:rPr>
          <w:rFonts w:ascii="Times New Roman" w:hAnsi="Times New Roman"/>
          <w:bCs/>
          <w:color w:val="000000"/>
        </w:rPr>
        <w:t>Пре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него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што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држава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снабдевач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нуклеарног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материјала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или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опреме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може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да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одобри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извоз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у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државу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која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није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потписник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Споразума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о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неширењу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нуклеарног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наоружања</w:t>
      </w:r>
      <w:r w:rsidR="00041757" w:rsidRPr="003A13A3">
        <w:rPr>
          <w:rFonts w:ascii="Times New Roman" w:hAnsi="Times New Roman"/>
          <w:bCs/>
          <w:color w:val="000000"/>
        </w:rPr>
        <w:t xml:space="preserve">, </w:t>
      </w:r>
      <w:r>
        <w:rPr>
          <w:rFonts w:ascii="Times New Roman" w:hAnsi="Times New Roman"/>
          <w:bCs/>
          <w:color w:val="000000"/>
        </w:rPr>
        <w:t>мора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добити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јемство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да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ће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прималац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ставити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тај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материјал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под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гарантије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МААЕ</w:t>
      </w:r>
      <w:r w:rsidR="00041757" w:rsidRPr="003A13A3">
        <w:rPr>
          <w:rFonts w:ascii="Times New Roman" w:hAnsi="Times New Roman"/>
          <w:bCs/>
          <w:color w:val="000000"/>
        </w:rPr>
        <w:t xml:space="preserve">. </w:t>
      </w:r>
      <w:r>
        <w:rPr>
          <w:rFonts w:ascii="Times New Roman" w:hAnsi="Times New Roman"/>
          <w:bCs/>
          <w:color w:val="000000"/>
        </w:rPr>
        <w:t>Након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отпреме</w:t>
      </w:r>
      <w:r w:rsidR="00041757" w:rsidRPr="003A13A3">
        <w:rPr>
          <w:rFonts w:ascii="Times New Roman" w:hAnsi="Times New Roman"/>
          <w:bCs/>
          <w:color w:val="000000"/>
        </w:rPr>
        <w:t xml:space="preserve">, </w:t>
      </w:r>
      <w:r>
        <w:rPr>
          <w:rFonts w:ascii="Times New Roman" w:hAnsi="Times New Roman"/>
          <w:bCs/>
          <w:color w:val="000000"/>
        </w:rPr>
        <w:t>земља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прималац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мора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да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омогући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службеницима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МААЕ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проверу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законитости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крајње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намене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извезених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материјала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или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опреме</w:t>
      </w:r>
      <w:r w:rsidR="00041757" w:rsidRPr="003A13A3">
        <w:rPr>
          <w:rFonts w:ascii="Times New Roman" w:hAnsi="Times New Roman"/>
          <w:bCs/>
          <w:color w:val="000000"/>
        </w:rPr>
        <w:t xml:space="preserve">. </w:t>
      </w:r>
      <w:r>
        <w:rPr>
          <w:rFonts w:ascii="Times New Roman" w:hAnsi="Times New Roman"/>
          <w:bCs/>
          <w:color w:val="000000"/>
        </w:rPr>
        <w:t>Поред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тога</w:t>
      </w:r>
      <w:r w:rsidR="00041757" w:rsidRPr="003A13A3">
        <w:rPr>
          <w:rFonts w:ascii="Times New Roman" w:hAnsi="Times New Roman"/>
          <w:bCs/>
          <w:color w:val="000000"/>
        </w:rPr>
        <w:t xml:space="preserve">, </w:t>
      </w:r>
      <w:r>
        <w:rPr>
          <w:rFonts w:ascii="Times New Roman" w:hAnsi="Times New Roman"/>
          <w:bCs/>
          <w:color w:val="000000"/>
        </w:rPr>
        <w:t>МААЕ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пружа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саветодавну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техничку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помоћ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земљама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у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вези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са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развојем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нуклеарне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енергије</w:t>
      </w:r>
      <w:r w:rsidR="00041757" w:rsidRPr="003A13A3">
        <w:rPr>
          <w:rFonts w:ascii="Times New Roman" w:hAnsi="Times New Roman"/>
          <w:bCs/>
          <w:color w:val="000000"/>
        </w:rPr>
        <w:t xml:space="preserve">, </w:t>
      </w:r>
      <w:r>
        <w:rPr>
          <w:rFonts w:ascii="Times New Roman" w:hAnsi="Times New Roman"/>
          <w:bCs/>
          <w:color w:val="000000"/>
        </w:rPr>
        <w:t>нуклеарне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сигурности</w:t>
      </w:r>
      <w:r w:rsidR="00041757" w:rsidRPr="003A13A3">
        <w:rPr>
          <w:rFonts w:ascii="Times New Roman" w:hAnsi="Times New Roman"/>
          <w:bCs/>
          <w:color w:val="000000"/>
        </w:rPr>
        <w:t xml:space="preserve">, </w:t>
      </w:r>
      <w:r>
        <w:rPr>
          <w:rFonts w:ascii="Times New Roman" w:hAnsi="Times New Roman"/>
          <w:bCs/>
          <w:color w:val="000000"/>
        </w:rPr>
        <w:t>управљања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радиоактивним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отпадом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и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другим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активностима</w:t>
      </w:r>
      <w:r w:rsidR="00041757" w:rsidRPr="003A13A3">
        <w:rPr>
          <w:rFonts w:ascii="Times New Roman" w:hAnsi="Times New Roman"/>
          <w:bCs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bCs/>
          <w:color w:val="000000"/>
        </w:rPr>
        <w:endnoteReference w:id="42"/>
      </w:r>
      <w:r w:rsidR="00041757" w:rsidRPr="003A13A3">
        <w:rPr>
          <w:rStyle w:val="apple-converted-space"/>
          <w:rFonts w:ascii="Times New Roman" w:hAnsi="Times New Roman"/>
          <w:bCs/>
          <w:color w:val="000000"/>
        </w:rPr>
        <w:t xml:space="preserve"> </w:t>
      </w:r>
      <w:r w:rsidR="00041757" w:rsidRPr="003A13A3">
        <w:rPr>
          <w:rFonts w:ascii="Times New Roman" w:hAnsi="Times New Roman"/>
          <w:bCs/>
          <w:color w:val="000000"/>
        </w:rPr>
        <w:t xml:space="preserve">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Међународни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увозни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сертификат</w:t>
      </w:r>
      <w:r w:rsidR="00041757" w:rsidRPr="003A13A3">
        <w:rPr>
          <w:rFonts w:ascii="Times New Roman" w:hAnsi="Times New Roman"/>
          <w:b/>
          <w:color w:val="000000"/>
        </w:rPr>
        <w:t>(</w:t>
      </w:r>
      <w:r w:rsidR="0055448D">
        <w:rPr>
          <w:rFonts w:ascii="Times New Roman" w:hAnsi="Times New Roman"/>
          <w:b/>
          <w:color w:val="000000"/>
        </w:rPr>
        <w:t>IIC</w:t>
      </w:r>
      <w:r w:rsidR="00041757" w:rsidRPr="003A13A3">
        <w:rPr>
          <w:rFonts w:ascii="Times New Roman" w:hAnsi="Times New Roman"/>
          <w:b/>
          <w:color w:val="000000"/>
        </w:rPr>
        <w:t xml:space="preserve">): </w:t>
      </w:r>
      <w:r>
        <w:rPr>
          <w:rFonts w:ascii="Times New Roman" w:hAnsi="Times New Roman"/>
          <w:color w:val="000000"/>
        </w:rPr>
        <w:t>Међународни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увозни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сертификат</w:t>
      </w:r>
      <w:r w:rsidR="00041757" w:rsidRPr="003A13A3">
        <w:rPr>
          <w:rFonts w:ascii="Times New Roman" w:hAnsi="Times New Roman"/>
          <w:color w:val="000000"/>
        </w:rPr>
        <w:t>(</w:t>
      </w:r>
      <w:r w:rsidR="0055448D">
        <w:rPr>
          <w:rFonts w:ascii="Times New Roman" w:hAnsi="Times New Roman"/>
          <w:color w:val="000000"/>
        </w:rPr>
        <w:t>IIC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је</w:t>
      </w:r>
      <w:r w:rsidR="00DA7BF8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документ</w:t>
      </w:r>
      <w:r w:rsidR="00DA7BF8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DA7BF8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издаје</w:t>
      </w:r>
      <w:r w:rsidR="00DA7BF8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земља</w:t>
      </w:r>
      <w:r w:rsidR="00DA7BF8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увозница</w:t>
      </w:r>
      <w:r w:rsidR="00DA7BF8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назначила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упозната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увозом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приговора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увоз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наведене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DD61DC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Увозник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прибавити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међународни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увозни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сертификат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доставити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извознику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потом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потреби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прилаже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захтев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издавање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дозволе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43"/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Обавеза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је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да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се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од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увозника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тражи</w:t>
      </w:r>
      <w:r w:rsid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да</w:t>
      </w:r>
      <w:r w:rsid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робу</w:t>
      </w:r>
      <w:r w:rsid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не</w:t>
      </w:r>
      <w:r w:rsid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преусмери</w:t>
      </w:r>
      <w:r w:rsid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негде</w:t>
      </w:r>
      <w:r w:rsid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другде</w:t>
      </w:r>
      <w:r w:rsidR="00DD61DC">
        <w:rPr>
          <w:rStyle w:val="tlid-translation"/>
          <w:rFonts w:ascii="Times New Roman" w:hAnsi="Times New Roman"/>
          <w:lang w:val="hr-HR"/>
        </w:rPr>
        <w:t>,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као</w:t>
      </w:r>
      <w:r w:rsid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и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да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не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врши</w:t>
      </w:r>
      <w:r w:rsid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поновни</w:t>
      </w:r>
      <w:r w:rsid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извоз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робе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без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извозне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дозволе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или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одобрења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од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стране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државних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органа</w:t>
      </w:r>
      <w:r w:rsid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надлежних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за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издавање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дозволе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у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земљи</w:t>
      </w:r>
      <w:r w:rsidR="00DD61DC" w:rsidRPr="00DD61DC">
        <w:rPr>
          <w:rStyle w:val="tlid-translation"/>
          <w:rFonts w:ascii="Times New Roman" w:hAnsi="Times New Roman"/>
          <w:lang w:val="hr-HR"/>
        </w:rPr>
        <w:t xml:space="preserve"> </w:t>
      </w:r>
      <w:r>
        <w:rPr>
          <w:rStyle w:val="tlid-translation"/>
          <w:rFonts w:ascii="Times New Roman" w:hAnsi="Times New Roman"/>
          <w:lang w:val="hr-HR"/>
        </w:rPr>
        <w:t>извоза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  <w:shd w:val="clear" w:color="auto" w:fill="FFFFFF"/>
        </w:rPr>
        <w:endnoteReference w:id="44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Акредитив</w:t>
      </w:r>
      <w:r w:rsidR="00041757" w:rsidRPr="003A13A3">
        <w:rPr>
          <w:rFonts w:ascii="Times New Roman" w:hAnsi="Times New Roman"/>
          <w:b/>
          <w:color w:val="000000"/>
        </w:rPr>
        <w:t>(</w:t>
      </w:r>
      <w:r w:rsidR="00B10CAF">
        <w:rPr>
          <w:rFonts w:ascii="Times New Roman" w:hAnsi="Times New Roman"/>
          <w:b/>
          <w:color w:val="000000"/>
        </w:rPr>
        <w:t>L/C</w:t>
      </w:r>
      <w:r w:rsidR="00041757" w:rsidRPr="003A13A3">
        <w:rPr>
          <w:rFonts w:ascii="Times New Roman" w:hAnsi="Times New Roman"/>
          <w:b/>
          <w:color w:val="000000"/>
        </w:rPr>
        <w:t>)</w:t>
      </w:r>
      <w:r w:rsidR="00DD61DC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Документ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издаје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банка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инструкцијама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купца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којим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овлашћује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продавац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повуче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одређену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своту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новца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одређеним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условима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обично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након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банка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одређена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документа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одређеном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року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45"/>
      </w:r>
    </w:p>
    <w:p w:rsidR="00041757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Дозвола</w:t>
      </w:r>
      <w:r w:rsidR="002D5F92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енг</w:t>
      </w:r>
      <w:r w:rsidR="002D5F92" w:rsidRPr="003A13A3">
        <w:rPr>
          <w:rFonts w:ascii="Times New Roman" w:hAnsi="Times New Roman"/>
          <w:color w:val="000000"/>
        </w:rPr>
        <w:t xml:space="preserve">. </w:t>
      </w:r>
      <w:r w:rsidR="00B10CAF" w:rsidRPr="00B10CAF">
        <w:rPr>
          <w:rFonts w:ascii="Times New Roman" w:hAnsi="Times New Roman"/>
          <w:b/>
          <w:color w:val="000000"/>
        </w:rPr>
        <w:t>license</w:t>
      </w:r>
      <w:r w:rsidR="002D5F92" w:rsidRPr="003A13A3">
        <w:rPr>
          <w:rFonts w:ascii="Times New Roman" w:hAnsi="Times New Roman"/>
          <w:color w:val="000000"/>
        </w:rPr>
        <w:t xml:space="preserve">): </w:t>
      </w:r>
      <w:r>
        <w:rPr>
          <w:rFonts w:ascii="Times New Roman" w:hAnsi="Times New Roman"/>
          <w:color w:val="000000"/>
        </w:rPr>
        <w:t>Званични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документ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неопходан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обављања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одређених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трансакција</w:t>
      </w:r>
      <w:r w:rsidR="00041757" w:rsidRPr="003A13A3"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нпр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извоза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транзита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претовара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брокерских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услуга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контролисану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технологију</w:t>
      </w:r>
      <w:r w:rsidR="002D5F92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</w:t>
      </w:r>
      <w:r w:rsidR="002D5F9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2D5F9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омогућава</w:t>
      </w:r>
      <w:r w:rsidR="002D5F9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пренос</w:t>
      </w:r>
      <w:r w:rsidR="002D5F9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трансфер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наведене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озн</w:t>
      </w:r>
      <w:r w:rsidR="00B10CAF">
        <w:rPr>
          <w:rFonts w:ascii="Times New Roman" w:hAnsi="Times New Roman"/>
          <w:color w:val="000000"/>
          <w:lang w:val="sr-Cyrl-CS"/>
        </w:rPr>
        <w:t>аченог одре</w:t>
      </w:r>
      <w:r>
        <w:rPr>
          <w:rFonts w:ascii="Times New Roman" w:hAnsi="Times New Roman"/>
          <w:color w:val="000000"/>
        </w:rPr>
        <w:t>дишта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2D5F9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крајњу</w:t>
      </w:r>
      <w:r w:rsidR="002D5F9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намену</w:t>
      </w:r>
      <w:r w:rsidR="002D5F92" w:rsidRPr="003A13A3">
        <w:rPr>
          <w:rFonts w:ascii="Times New Roman" w:hAnsi="Times New Roman"/>
          <w:color w:val="000000"/>
        </w:rPr>
        <w:t xml:space="preserve">.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Превозно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средство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Средство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једног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одредишта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друго</w:t>
      </w:r>
      <w:r w:rsidR="00041757" w:rsidRPr="003A13A3">
        <w:rPr>
          <w:rFonts w:ascii="Times New Roman" w:hAnsi="Times New Roman"/>
          <w:color w:val="000000"/>
        </w:rPr>
        <w:t xml:space="preserve"> </w:t>
      </w:r>
    </w:p>
    <w:p w:rsidR="002803E0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Свеобухватна</w:t>
      </w:r>
      <w:r w:rsidR="002803E0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контрола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крајње</w:t>
      </w:r>
      <w:r w:rsidR="002803E0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војне</w:t>
      </w:r>
      <w:r w:rsidR="002803E0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намене</w:t>
      </w:r>
      <w:r w:rsidR="002803E0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Одредба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националног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законодавства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којом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захтева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правно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физичко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лице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поднесе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захтев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издавање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дозволе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обављање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одређене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трговинске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делатности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укључује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робу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налазе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контролним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листама</w:t>
      </w:r>
      <w:r w:rsidR="002803E0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то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лице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зна</w:t>
      </w:r>
      <w:r w:rsidR="002803E0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у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вези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којом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било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информисано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стране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државних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разлога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верује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бити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предодређена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крајњу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конвенционалну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војну</w:t>
      </w:r>
      <w:r w:rsidR="002803E0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намену</w:t>
      </w:r>
      <w:r w:rsidR="002803E0" w:rsidRPr="003A13A3">
        <w:rPr>
          <w:rFonts w:ascii="Times New Roman" w:hAnsi="Times New Roman"/>
          <w:color w:val="000000"/>
        </w:rPr>
        <w:t xml:space="preserve">.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Средство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превоза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Средства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извезена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преноси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места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порекла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крајњег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одредишта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укључити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више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видова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транспорта</w:t>
      </w:r>
      <w:r w:rsidR="00041757" w:rsidRPr="003A13A3"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ваздушни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железнички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друмски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водени</w:t>
      </w:r>
      <w:r w:rsidR="00594A04" w:rsidRPr="003A13A3">
        <w:rPr>
          <w:rFonts w:ascii="Times New Roman" w:hAnsi="Times New Roman"/>
          <w:color w:val="000000"/>
        </w:rPr>
        <w:t xml:space="preserve"> </w:t>
      </w:r>
      <w:r w:rsidR="00041757" w:rsidRPr="003A13A3">
        <w:rPr>
          <w:rFonts w:ascii="Times New Roman" w:hAnsi="Times New Roman"/>
          <w:color w:val="000000"/>
        </w:rPr>
        <w:t>).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46"/>
      </w:r>
      <w:r w:rsidR="00041757" w:rsidRPr="003A13A3">
        <w:rPr>
          <w:rFonts w:ascii="Times New Roman" w:hAnsi="Times New Roman"/>
          <w:color w:val="000000"/>
        </w:rPr>
        <w:t xml:space="preserve"> </w:t>
      </w:r>
    </w:p>
    <w:p w:rsidR="00133067" w:rsidRDefault="005B7DFA">
      <w:pPr>
        <w:spacing w:before="120" w:after="120" w:line="240" w:lineRule="auto"/>
        <w:ind w:left="-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Мултилатерални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режими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контроле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извоза</w:t>
      </w:r>
      <w:r w:rsidR="00041757" w:rsidRPr="003A13A3">
        <w:rPr>
          <w:rFonts w:ascii="Times New Roman" w:hAnsi="Times New Roman"/>
          <w:b/>
          <w:color w:val="000000"/>
        </w:rPr>
        <w:t>/</w:t>
      </w:r>
      <w:r>
        <w:rPr>
          <w:rFonts w:ascii="Times New Roman" w:hAnsi="Times New Roman"/>
          <w:b/>
          <w:color w:val="000000"/>
        </w:rPr>
        <w:t>мултилатерални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извозни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контролни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режими</w:t>
      </w:r>
      <w:r w:rsidR="00041757" w:rsidRPr="003A13A3">
        <w:rPr>
          <w:rFonts w:ascii="Times New Roman" w:hAnsi="Times New Roman"/>
          <w:b/>
          <w:color w:val="000000"/>
        </w:rPr>
        <w:t>(</w:t>
      </w:r>
      <w:r w:rsidR="005F0ACC">
        <w:rPr>
          <w:rFonts w:ascii="Times New Roman" w:hAnsi="Times New Roman"/>
          <w:b/>
          <w:color w:val="000000"/>
          <w:lang w:val="en-US"/>
        </w:rPr>
        <w:t>MECR</w:t>
      </w:r>
      <w:r w:rsidR="00041757" w:rsidRPr="003A13A3">
        <w:rPr>
          <w:rFonts w:ascii="Times New Roman" w:hAnsi="Times New Roman"/>
          <w:b/>
          <w:color w:val="000000"/>
        </w:rPr>
        <w:t>)</w:t>
      </w:r>
      <w:r w:rsidR="002D5F92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Мултилатерални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режими</w:t>
      </w:r>
      <w:r w:rsidR="00041757" w:rsidRPr="003A13A3">
        <w:rPr>
          <w:rFonts w:ascii="Times New Roman" w:hAnsi="Times New Roman"/>
          <w:color w:val="000000"/>
        </w:rPr>
        <w:t>(</w:t>
      </w:r>
      <w:r w:rsidR="005F0ACC">
        <w:rPr>
          <w:rFonts w:ascii="Times New Roman" w:hAnsi="Times New Roman"/>
          <w:color w:val="000000"/>
        </w:rPr>
        <w:t>MECR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 w:rsidR="002D5F92" w:rsidRPr="003A13A3">
        <w:rPr>
          <w:rFonts w:ascii="Times New Roman" w:hAnsi="Times New Roman"/>
          <w:color w:val="000000"/>
        </w:rPr>
        <w:t>–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Група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нуклеарних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снабдевача</w:t>
      </w:r>
      <w:r w:rsidR="00041757" w:rsidRPr="003A13A3">
        <w:rPr>
          <w:rFonts w:ascii="Times New Roman" w:hAnsi="Times New Roman"/>
          <w:color w:val="000000"/>
        </w:rPr>
        <w:t>(</w:t>
      </w:r>
      <w:r w:rsidR="005F0ACC">
        <w:rPr>
          <w:rFonts w:ascii="Times New Roman" w:hAnsi="Times New Roman"/>
          <w:color w:val="000000"/>
        </w:rPr>
        <w:t>NSG</w:t>
      </w:r>
      <w:r w:rsidR="00041757" w:rsidRPr="003A13A3"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color w:val="000000"/>
        </w:rPr>
        <w:t>Аустралијска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група</w:t>
      </w:r>
      <w:r w:rsidR="00041757" w:rsidRPr="003A13A3">
        <w:rPr>
          <w:rFonts w:ascii="Times New Roman" w:hAnsi="Times New Roman"/>
          <w:color w:val="000000"/>
        </w:rPr>
        <w:t>(</w:t>
      </w:r>
      <w:r w:rsidR="005F0ACC">
        <w:rPr>
          <w:rFonts w:ascii="Times New Roman" w:hAnsi="Times New Roman"/>
          <w:color w:val="000000"/>
        </w:rPr>
        <w:t>AG</w:t>
      </w:r>
      <w:r w:rsidR="00041757" w:rsidRPr="003A13A3"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color w:val="000000"/>
        </w:rPr>
        <w:t>Контролни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режим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ракетну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технологију</w:t>
      </w:r>
      <w:r w:rsidR="00041757" w:rsidRPr="003A13A3">
        <w:rPr>
          <w:rFonts w:ascii="Times New Roman" w:hAnsi="Times New Roman"/>
          <w:color w:val="000000"/>
        </w:rPr>
        <w:t>(</w:t>
      </w:r>
      <w:r w:rsidR="005F0ACC">
        <w:rPr>
          <w:rFonts w:ascii="Times New Roman" w:hAnsi="Times New Roman"/>
          <w:color w:val="000000"/>
        </w:rPr>
        <w:t>MTCR</w:t>
      </w:r>
      <w:r w:rsidR="00041757" w:rsidRPr="003A13A3"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color w:val="000000"/>
        </w:rPr>
        <w:t>Васенарски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аранжман</w:t>
      </w:r>
      <w:r w:rsidR="00041757" w:rsidRPr="003A13A3">
        <w:rPr>
          <w:rFonts w:ascii="Times New Roman" w:hAnsi="Times New Roman"/>
          <w:color w:val="000000"/>
        </w:rPr>
        <w:t xml:space="preserve"> (W</w:t>
      </w:r>
      <w:r>
        <w:rPr>
          <w:rFonts w:ascii="Times New Roman" w:hAnsi="Times New Roman"/>
          <w:color w:val="000000"/>
        </w:rPr>
        <w:t>А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Зангер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комитет</w:t>
      </w:r>
      <w:r w:rsidR="00041757" w:rsidRPr="003A13A3">
        <w:rPr>
          <w:rFonts w:ascii="Times New Roman" w:hAnsi="Times New Roman"/>
          <w:color w:val="000000"/>
        </w:rPr>
        <w:t>(</w:t>
      </w:r>
      <w:r w:rsidR="00133067">
        <w:rPr>
          <w:rFonts w:ascii="Times New Roman" w:hAnsi="Times New Roman"/>
          <w:color w:val="000000"/>
        </w:rPr>
        <w:t>ZC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 w:rsidR="002D5F92" w:rsidRPr="003A13A3">
        <w:rPr>
          <w:rFonts w:ascii="Times New Roman" w:hAnsi="Times New Roman"/>
          <w:color w:val="000000"/>
        </w:rPr>
        <w:t>–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међународни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неформални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режими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непролиферацију</w:t>
      </w:r>
      <w:r w:rsidR="002D5F9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2D5F9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неширење</w:t>
      </w:r>
      <w:r w:rsidR="002D5F9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добављачи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произвођачи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координирају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области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одређеном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облашћу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индустријом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нпр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нуклеарна</w:t>
      </w:r>
      <w:r w:rsidR="00041757" w:rsidRPr="003A13A3">
        <w:rPr>
          <w:rFonts w:ascii="Times New Roman" w:hAnsi="Times New Roman"/>
          <w:color w:val="000000"/>
        </w:rPr>
        <w:t xml:space="preserve">). </w:t>
      </w:r>
    </w:p>
    <w:p w:rsidR="00133067" w:rsidRDefault="005B7DFA">
      <w:pPr>
        <w:spacing w:before="120" w:after="120" w:line="240" w:lineRule="auto"/>
        <w:ind w:left="-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Група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нуклеарних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снабдевача</w:t>
      </w:r>
      <w:r w:rsidR="00041757" w:rsidRPr="003A13A3">
        <w:rPr>
          <w:rFonts w:ascii="Times New Roman" w:hAnsi="Times New Roman"/>
          <w:b/>
          <w:color w:val="000000"/>
        </w:rPr>
        <w:t>(</w:t>
      </w:r>
      <w:r w:rsidR="00133067">
        <w:rPr>
          <w:rFonts w:ascii="Times New Roman" w:hAnsi="Times New Roman"/>
          <w:b/>
          <w:color w:val="000000"/>
        </w:rPr>
        <w:t>NSG</w:t>
      </w:r>
      <w:r w:rsidR="00041757" w:rsidRPr="003A13A3">
        <w:rPr>
          <w:rFonts w:ascii="Times New Roman" w:hAnsi="Times New Roman"/>
          <w:b/>
          <w:color w:val="000000"/>
        </w:rPr>
        <w:t>)</w:t>
      </w:r>
      <w:r w:rsidR="00041757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Неформална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добровољна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група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земаља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нуклеарних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снабдевача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настоји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допринесе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неширењу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непролиферацији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нуклеарног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кроз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спровођење</w:t>
      </w:r>
      <w:r w:rsidR="002D5F9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два</w:t>
      </w:r>
      <w:r w:rsidR="002D5F9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скупа</w:t>
      </w:r>
      <w:r w:rsidR="002D5F9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смерница</w:t>
      </w:r>
      <w:r w:rsidR="002D5F92" w:rsidRPr="003A13A3"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нуклеарног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материјала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нуклеарним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материјалима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47"/>
      </w:r>
    </w:p>
    <w:p w:rsidR="00886586" w:rsidRDefault="005B7DFA">
      <w:pPr>
        <w:spacing w:before="120" w:after="120" w:line="240" w:lineRule="auto"/>
        <w:ind w:left="-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Аустралијска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група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Неформални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аранжман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циљ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минимум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сведе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ризик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помагања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ширењу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хемијског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биолошког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041757" w:rsidRPr="003A13A3">
        <w:rPr>
          <w:rFonts w:ascii="Times New Roman" w:hAnsi="Times New Roman"/>
          <w:color w:val="000000"/>
        </w:rPr>
        <w:t>(</w:t>
      </w:r>
      <w:r w:rsidR="00133067">
        <w:rPr>
          <w:rFonts w:ascii="Times New Roman" w:hAnsi="Times New Roman"/>
          <w:color w:val="000000"/>
        </w:rPr>
        <w:t>CBW</w:t>
      </w:r>
      <w:r w:rsidR="00041757" w:rsidRPr="003A13A3">
        <w:rPr>
          <w:rFonts w:ascii="Times New Roman" w:hAnsi="Times New Roman"/>
          <w:color w:val="000000"/>
        </w:rPr>
        <w:t xml:space="preserve">). </w:t>
      </w:r>
      <w:r>
        <w:rPr>
          <w:rFonts w:ascii="Times New Roman" w:hAnsi="Times New Roman"/>
          <w:color w:val="000000"/>
        </w:rPr>
        <w:t>Група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састаје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једном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годишње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разговарала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начинима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повећање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делотворности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националних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мера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издавање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дозвола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земљама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учесницама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спречило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потенцијални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пролифератори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дођу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материјала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програме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хемијског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биолошког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48"/>
      </w:r>
    </w:p>
    <w:p w:rsidR="00886586" w:rsidRDefault="005B7DFA">
      <w:pPr>
        <w:spacing w:before="120" w:after="120" w:line="240" w:lineRule="auto"/>
        <w:ind w:left="-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Контролни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режим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ракетну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технологију</w:t>
      </w:r>
      <w:r w:rsidR="002D5F92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Неформално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добровољно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удруживање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земаља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циљеве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непролиферације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система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беспилотну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доставу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масовно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уништење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настоје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координирају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националне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процедуре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издавање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дозвола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циљем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спречавања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пролиферације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система</w:t>
      </w:r>
      <w:r w:rsidR="00041757" w:rsidRPr="003A13A3">
        <w:rPr>
          <w:rFonts w:ascii="Times New Roman" w:hAnsi="Times New Roman"/>
          <w:color w:val="000000"/>
        </w:rPr>
        <w:t xml:space="preserve">. </w:t>
      </w:r>
    </w:p>
    <w:p w:rsidR="00886586" w:rsidRDefault="005B7DFA">
      <w:pPr>
        <w:spacing w:before="120" w:after="120" w:line="240" w:lineRule="auto"/>
        <w:ind w:left="-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Васенарски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аранжман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Неформално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добровољно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удруживање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земаља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доприноси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регионалној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међународној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безбедности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стабилности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промовисањем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транспарентности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веће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одговорности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трансферу</w:t>
      </w:r>
      <w:r w:rsidR="002D5F9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преносу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конвенционалног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2D5F9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2D5F9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технологије</w:t>
      </w:r>
      <w:r w:rsidR="002D5F9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двоструке</w:t>
      </w:r>
      <w:r w:rsidR="002D5F9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намене</w:t>
      </w:r>
      <w:r w:rsidR="002D5F92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учеснице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настоје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преко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својих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националних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политика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осигурају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трансфери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поменуте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доприносе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развоју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унапређењу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војних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способности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подривају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циљеве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преусмеравају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подржавање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таквих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способности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Циљ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такође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спречи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куповина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терориста</w:t>
      </w:r>
      <w:r w:rsidR="00041757" w:rsidRPr="003A13A3">
        <w:rPr>
          <w:rFonts w:ascii="Times New Roman" w:hAnsi="Times New Roman"/>
          <w:color w:val="000000"/>
        </w:rPr>
        <w:t xml:space="preserve">. </w:t>
      </w:r>
    </w:p>
    <w:p w:rsidR="00041757" w:rsidRPr="003A13A3" w:rsidRDefault="005B7DFA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Зангер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комитет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Овај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комитет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основан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1971. </w:t>
      </w:r>
      <w:r>
        <w:rPr>
          <w:rFonts w:ascii="Times New Roman" w:hAnsi="Times New Roman"/>
          <w:color w:val="000000"/>
        </w:rPr>
        <w:t>године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циљу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састављања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листе</w:t>
      </w:r>
      <w:r w:rsidR="002554D1" w:rsidRPr="003A13A3">
        <w:rPr>
          <w:rFonts w:ascii="Times New Roman" w:hAnsi="Times New Roman"/>
          <w:color w:val="000000"/>
        </w:rPr>
        <w:t xml:space="preserve"> „</w:t>
      </w:r>
      <w:r>
        <w:rPr>
          <w:rFonts w:ascii="Times New Roman" w:hAnsi="Times New Roman"/>
          <w:color w:val="000000"/>
        </w:rPr>
        <w:t>окидача</w:t>
      </w:r>
      <w:r w:rsidR="00AC0E16" w:rsidRPr="003A13A3">
        <w:rPr>
          <w:rFonts w:ascii="Times New Roman" w:hAnsi="Times New Roman"/>
          <w:color w:val="000000"/>
        </w:rPr>
        <w:t>“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 w:rsidR="00AC0E16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тригера</w:t>
      </w:r>
      <w:r w:rsidR="00041757" w:rsidRPr="003A13A3">
        <w:rPr>
          <w:rFonts w:ascii="Times New Roman" w:hAnsi="Times New Roman"/>
          <w:color w:val="000000"/>
        </w:rPr>
        <w:t>“ (</w:t>
      </w:r>
      <w:r>
        <w:rPr>
          <w:rFonts w:ascii="Times New Roman" w:hAnsi="Times New Roman"/>
          <w:color w:val="000000"/>
        </w:rPr>
        <w:t>а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извора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посебних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фисионих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материјала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б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опреме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материјала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посебно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конструисаних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припремљених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прераду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коришћење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производњу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посебних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фисионих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материјала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били</w:t>
      </w:r>
      <w:r w:rsidR="00041757" w:rsidRPr="003A13A3">
        <w:rPr>
          <w:rFonts w:ascii="Times New Roman" w:hAnsi="Times New Roman"/>
          <w:color w:val="000000"/>
        </w:rPr>
        <w:t xml:space="preserve"> „</w:t>
      </w:r>
      <w:r>
        <w:rPr>
          <w:rFonts w:ascii="Times New Roman" w:hAnsi="Times New Roman"/>
          <w:color w:val="000000"/>
        </w:rPr>
        <w:t>окидачи</w:t>
      </w:r>
      <w:r w:rsidR="00041757" w:rsidRPr="003A13A3">
        <w:rPr>
          <w:rFonts w:ascii="Times New Roman" w:hAnsi="Times New Roman"/>
          <w:color w:val="000000"/>
        </w:rPr>
        <w:t xml:space="preserve">“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примену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гарантија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смерница</w:t>
      </w:r>
      <w:r w:rsidR="00041757" w:rsidRPr="003A13A3">
        <w:rPr>
          <w:rFonts w:ascii="Times New Roman" w:hAnsi="Times New Roman"/>
          <w:color w:val="000000"/>
        </w:rPr>
        <w:t xml:space="preserve"> („</w:t>
      </w:r>
      <w:r>
        <w:rPr>
          <w:rFonts w:ascii="Times New Roman" w:hAnsi="Times New Roman"/>
          <w:color w:val="000000"/>
        </w:rPr>
        <w:t>заједнички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договор</w:t>
      </w:r>
      <w:r w:rsidR="00041757" w:rsidRPr="003A13A3">
        <w:rPr>
          <w:rFonts w:ascii="Times New Roman" w:hAnsi="Times New Roman"/>
          <w:color w:val="000000"/>
        </w:rPr>
        <w:t xml:space="preserve">“)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уређују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нуклеарног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041757" w:rsidRPr="003A13A3">
        <w:rPr>
          <w:rFonts w:ascii="Times New Roman" w:hAnsi="Times New Roman"/>
          <w:color w:val="000000"/>
        </w:rPr>
        <w:t>(</w:t>
      </w:r>
      <w:r w:rsidR="00C36D10">
        <w:rPr>
          <w:rFonts w:ascii="Times New Roman" w:hAnsi="Times New Roman"/>
          <w:color w:val="000000"/>
        </w:rPr>
        <w:t>NNWS</w:t>
      </w:r>
      <w:r w:rsidR="00041757" w:rsidRPr="003A13A3">
        <w:rPr>
          <w:rFonts w:ascii="Times New Roman" w:hAnsi="Times New Roman"/>
          <w:color w:val="000000"/>
        </w:rPr>
        <w:t>)</w:t>
      </w:r>
      <w:r w:rsidR="00AC0E16" w:rsidRPr="003A13A3">
        <w:rPr>
          <w:rFonts w:ascii="Times New Roman" w:hAnsi="Times New Roman"/>
          <w:color w:val="000000"/>
        </w:rPr>
        <w:t>,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нису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потписнице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Споразума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неширењу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нуклеарног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041757" w:rsidRPr="003A13A3">
        <w:rPr>
          <w:rFonts w:ascii="Times New Roman" w:hAnsi="Times New Roman"/>
          <w:color w:val="000000"/>
        </w:rPr>
        <w:t>(</w:t>
      </w:r>
      <w:r w:rsidR="00C36D10">
        <w:rPr>
          <w:rFonts w:ascii="Times New Roman" w:hAnsi="Times New Roman"/>
          <w:color w:val="000000"/>
        </w:rPr>
        <w:t>NPT</w:t>
      </w:r>
      <w:r w:rsidR="00041757" w:rsidRPr="003A13A3">
        <w:rPr>
          <w:rFonts w:ascii="Times New Roman" w:hAnsi="Times New Roman"/>
          <w:color w:val="000000"/>
        </w:rPr>
        <w:t>).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49"/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Војна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опрема</w:t>
      </w:r>
      <w:r w:rsidR="00041757" w:rsidRPr="003A13A3">
        <w:rPr>
          <w:rFonts w:ascii="Times New Roman" w:hAnsi="Times New Roman"/>
          <w:b/>
          <w:color w:val="000000"/>
        </w:rPr>
        <w:t xml:space="preserve"> / </w:t>
      </w:r>
      <w:r>
        <w:rPr>
          <w:rFonts w:ascii="Times New Roman" w:hAnsi="Times New Roman"/>
          <w:b/>
          <w:color w:val="000000"/>
        </w:rPr>
        <w:t>безбедносно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осетљива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опрема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или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наоружање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војна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опрема</w:t>
      </w:r>
      <w:r w:rsidR="00041757" w:rsidRPr="003A13A3">
        <w:rPr>
          <w:rFonts w:ascii="Times New Roman" w:hAnsi="Times New Roman"/>
          <w:b/>
          <w:color w:val="000000"/>
        </w:rPr>
        <w:t xml:space="preserve"> / </w:t>
      </w:r>
      <w:r>
        <w:rPr>
          <w:rFonts w:ascii="Times New Roman" w:hAnsi="Times New Roman"/>
          <w:b/>
          <w:color w:val="000000"/>
        </w:rPr>
        <w:t>конвенционално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оружје</w:t>
      </w:r>
      <w:r w:rsidR="00041757" w:rsidRPr="003A13A3">
        <w:rPr>
          <w:rFonts w:ascii="Times New Roman" w:hAnsi="Times New Roman"/>
          <w:b/>
          <w:color w:val="000000"/>
        </w:rPr>
        <w:t xml:space="preserve"> / </w:t>
      </w:r>
      <w:r>
        <w:rPr>
          <w:rFonts w:ascii="Times New Roman" w:hAnsi="Times New Roman"/>
          <w:b/>
          <w:color w:val="000000"/>
        </w:rPr>
        <w:t>наоружање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Војна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опрема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„</w:t>
      </w:r>
      <w:r>
        <w:rPr>
          <w:rFonts w:ascii="Times New Roman" w:hAnsi="Times New Roman"/>
          <w:color w:val="000000"/>
          <w:shd w:val="clear" w:color="auto" w:fill="FFFFFF"/>
        </w:rPr>
        <w:t>комплетни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уређаји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пуњењем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од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експлозива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потисних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експлозива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/ </w:t>
      </w:r>
      <w:r>
        <w:rPr>
          <w:rFonts w:ascii="Times New Roman" w:hAnsi="Times New Roman"/>
          <w:color w:val="000000"/>
          <w:shd w:val="clear" w:color="auto" w:fill="FFFFFF"/>
        </w:rPr>
        <w:t>погонског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горива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пиротехничких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смеша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иницирајућих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једињења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нуклеарних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биолошких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хемијских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материјала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за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употребу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војним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операцијама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.“</w:t>
      </w:r>
      <w:r w:rsidR="00041757" w:rsidRPr="003A13A3">
        <w:rPr>
          <w:rStyle w:val="EndnoteReference"/>
          <w:rFonts w:ascii="Times New Roman" w:hAnsi="Times New Roman"/>
          <w:color w:val="000000"/>
          <w:shd w:val="clear" w:color="auto" w:fill="FFFFFF"/>
        </w:rPr>
        <w:endnoteReference w:id="50"/>
      </w:r>
      <w:r w:rsidR="00041757" w:rsidRPr="003A13A3">
        <w:rPr>
          <w:rFonts w:ascii="Times New Roman" w:hAnsi="Times New Roman"/>
          <w:color w:val="000000"/>
        </w:rPr>
        <w:t xml:space="preserve"> „</w:t>
      </w:r>
      <w:r>
        <w:rPr>
          <w:rFonts w:ascii="Times New Roman" w:hAnsi="Times New Roman"/>
          <w:color w:val="000000"/>
        </w:rPr>
        <w:t>Конвенционално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односи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масовно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уништење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Оно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мада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искључиво</w:t>
      </w:r>
      <w:r w:rsidR="00041757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оклопна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борбена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возила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војне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хеликоптере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војне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авионе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ратне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бродове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малокалибарско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лако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</w:t>
      </w:r>
      <w:r w:rsidR="00041757" w:rsidRPr="003A13A3">
        <w:rPr>
          <w:rFonts w:ascii="Times New Roman" w:hAnsi="Times New Roman"/>
          <w:color w:val="000000"/>
        </w:rPr>
        <w:t>(</w:t>
      </w:r>
      <w:r w:rsidR="00C36D10">
        <w:rPr>
          <w:rFonts w:ascii="Times New Roman" w:hAnsi="Times New Roman"/>
          <w:color w:val="000000"/>
        </w:rPr>
        <w:t>SALW</w:t>
      </w:r>
      <w:r w:rsidR="00041757" w:rsidRPr="003A13A3"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color w:val="000000"/>
        </w:rPr>
        <w:t>нагазне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мине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касетне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бомбе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муницију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артиљерију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главна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оруђа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рата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51"/>
      </w:r>
      <w:r w:rsidR="00041757" w:rsidRPr="003A13A3">
        <w:rPr>
          <w:rFonts w:ascii="Times New Roman" w:hAnsi="Times New Roman"/>
          <w:color w:val="000000"/>
        </w:rPr>
        <w:t xml:space="preserve"> 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Нуклеарно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оружје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Оружје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укључујући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прототипе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испитне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уређаје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нуклеарну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фисију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било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комбинацији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нуклеарном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фузијом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стварање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огромне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експлозивне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силе</w:t>
      </w:r>
      <w:r w:rsidR="00041757" w:rsidRPr="003A13A3">
        <w:rPr>
          <w:rFonts w:ascii="Times New Roman" w:hAnsi="Times New Roman"/>
          <w:color w:val="000000"/>
        </w:rPr>
        <w:t>.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Изворни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произвођач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опреме</w:t>
      </w:r>
      <w:r w:rsidR="00041757" w:rsidRPr="003A13A3">
        <w:rPr>
          <w:rFonts w:ascii="Times New Roman" w:hAnsi="Times New Roman"/>
          <w:b/>
          <w:color w:val="000000"/>
        </w:rPr>
        <w:t xml:space="preserve"> : </w:t>
      </w:r>
      <w:r>
        <w:rPr>
          <w:rFonts w:ascii="Times New Roman" w:hAnsi="Times New Roman"/>
          <w:color w:val="000000"/>
          <w:shd w:val="clear" w:color="auto" w:fill="FFFFFF"/>
        </w:rPr>
        <w:t>Изворни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произвођач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опреме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hd w:val="clear" w:color="auto" w:fill="FFFFFF"/>
        </w:rPr>
        <w:t>производи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опрему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компоненте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које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затим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продаје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његов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клијент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други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произвођач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препродавац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обично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под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својим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именом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Изворни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произвођач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опреме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може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израђивати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комплетне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уређаје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само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одређене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компоненте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њих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потом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може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уобличавати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препродавац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.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Извоз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контролисане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робе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од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стране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привредног</w:t>
      </w:r>
      <w:r w:rsidR="00594A04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друштва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која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нису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изворни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произвођачи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опреме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понекад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захтева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да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изворни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произвођач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опреме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достави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податке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о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производњи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  <w:shd w:val="clear" w:color="auto" w:fill="FFFFFF"/>
        </w:rPr>
        <w:endnoteReference w:id="52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Спецификација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робе</w:t>
      </w:r>
      <w:r w:rsidR="00041757" w:rsidRPr="003A13A3">
        <w:rPr>
          <w:rFonts w:ascii="Times New Roman" w:hAnsi="Times New Roman"/>
          <w:b/>
          <w:color w:val="000000"/>
        </w:rPr>
        <w:t>/</w:t>
      </w:r>
      <w:r>
        <w:rPr>
          <w:rFonts w:ascii="Times New Roman" w:hAnsi="Times New Roman"/>
          <w:b/>
          <w:color w:val="000000"/>
        </w:rPr>
        <w:t>пошиљке</w:t>
      </w:r>
      <w:r w:rsidR="00BD5BC8" w:rsidRPr="003A13A3">
        <w:rPr>
          <w:rFonts w:ascii="Times New Roman" w:hAnsi="Times New Roman"/>
          <w:b/>
          <w:color w:val="000000"/>
        </w:rPr>
        <w:t xml:space="preserve">, </w:t>
      </w:r>
      <w:r>
        <w:rPr>
          <w:rFonts w:ascii="Times New Roman" w:hAnsi="Times New Roman"/>
          <w:b/>
          <w:color w:val="000000"/>
        </w:rPr>
        <w:t>листа</w:t>
      </w:r>
      <w:r w:rsidR="00BD5BC8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паковања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Документ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наводи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број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врсту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отпрема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друге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информације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неопходне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сврхе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царињења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53"/>
      </w:r>
      <w:r w:rsidR="00041757" w:rsidRPr="003A13A3">
        <w:rPr>
          <w:rFonts w:ascii="Times New Roman" w:hAnsi="Times New Roman"/>
          <w:color w:val="000000"/>
        </w:rPr>
        <w:t xml:space="preserve"> 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Стране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које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изазивају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забринутост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погледу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преусмеравања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или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ширења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наоружања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Појединци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организације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укључени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историјат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кршења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прописа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области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спољне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укључености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активности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пролиферације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већини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земаља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уколико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једна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надлежни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ће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највероватније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одбити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захтев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издавање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дозволе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ће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захтевати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додатни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надзор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односно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проверу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54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Стране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учеснице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трансакцији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Сви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учесници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извозника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агената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крајњег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интерес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трансакцији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55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План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физичко</w:t>
      </w:r>
      <w:r w:rsidR="00041757" w:rsidRPr="003A13A3">
        <w:rPr>
          <w:rFonts w:ascii="Times New Roman" w:hAnsi="Times New Roman"/>
          <w:b/>
          <w:color w:val="000000"/>
        </w:rPr>
        <w:t>-</w:t>
      </w:r>
      <w:r>
        <w:rPr>
          <w:rFonts w:ascii="Times New Roman" w:hAnsi="Times New Roman"/>
          <w:b/>
          <w:color w:val="000000"/>
        </w:rPr>
        <w:t>техничке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заштите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Мере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намењене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заштиту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неовлашћеног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приступа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нпр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сигурносна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врата</w:t>
      </w:r>
      <w:r w:rsidR="002554D1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ограничен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приступ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подручја</w:t>
      </w:r>
      <w:r w:rsidR="007C21FA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простори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ограниченим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приступом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пропуснице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закључани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столови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ормари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заштићени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рачунари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итд</w:t>
      </w:r>
      <w:r w:rsidR="00041757" w:rsidRPr="003A13A3">
        <w:rPr>
          <w:rFonts w:ascii="Times New Roman" w:hAnsi="Times New Roman"/>
          <w:color w:val="000000"/>
        </w:rPr>
        <w:t>.).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Верификација</w:t>
      </w:r>
      <w:r w:rsidR="007C21FA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или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провера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након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испоруке</w:t>
      </w:r>
      <w:r w:rsidR="007C21FA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Верификација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циљу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утврђивања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сврхе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издата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дозвола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трансакцију</w:t>
      </w:r>
      <w:r w:rsidR="00041757" w:rsidRPr="003A13A3">
        <w:rPr>
          <w:rFonts w:ascii="Times New Roman" w:hAnsi="Times New Roman"/>
          <w:color w:val="000000"/>
        </w:rPr>
        <w:t>.</w:t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Прекурсори</w:t>
      </w:r>
      <w:r w:rsidR="00041757" w:rsidRPr="003A13A3">
        <w:rPr>
          <w:rFonts w:ascii="Times New Roman" w:hAnsi="Times New Roman"/>
          <w:b/>
          <w:color w:val="000000"/>
          <w:shd w:val="clear" w:color="auto" w:fill="FFFFFF"/>
        </w:rPr>
        <w:t>: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„</w:t>
      </w:r>
      <w:r>
        <w:rPr>
          <w:rFonts w:ascii="Times New Roman" w:hAnsi="Times New Roman"/>
          <w:color w:val="000000"/>
          <w:shd w:val="clear" w:color="auto" w:fill="FFFFFF"/>
        </w:rPr>
        <w:t>Хемикалије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посебне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намене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које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користе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производњи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експлозива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.“</w:t>
      </w:r>
      <w:r w:rsidR="00041757" w:rsidRPr="003A13A3">
        <w:rPr>
          <w:rStyle w:val="EndnoteReference"/>
          <w:rFonts w:ascii="Times New Roman" w:hAnsi="Times New Roman"/>
          <w:color w:val="000000"/>
          <w:shd w:val="clear" w:color="auto" w:fill="FFFFFF"/>
        </w:rPr>
        <w:endnoteReference w:id="56"/>
      </w:r>
    </w:p>
    <w:p w:rsidR="00041757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Провера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издавања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дозволе</w:t>
      </w:r>
      <w:r w:rsidR="00041757" w:rsidRPr="003A13A3">
        <w:rPr>
          <w:rFonts w:ascii="Times New Roman" w:hAnsi="Times New Roman"/>
          <w:b/>
          <w:color w:val="000000"/>
        </w:rPr>
        <w:t>(</w:t>
      </w:r>
      <w:r w:rsidR="00C36D10">
        <w:rPr>
          <w:rFonts w:ascii="Times New Roman" w:hAnsi="Times New Roman"/>
          <w:b/>
          <w:color w:val="000000"/>
        </w:rPr>
        <w:t>PLC</w:t>
      </w:r>
      <w:r w:rsidR="00041757" w:rsidRPr="003A13A3">
        <w:rPr>
          <w:rFonts w:ascii="Times New Roman" w:hAnsi="Times New Roman"/>
          <w:b/>
          <w:color w:val="000000"/>
        </w:rPr>
        <w:t xml:space="preserve">): </w:t>
      </w:r>
      <w:r>
        <w:rPr>
          <w:rFonts w:ascii="Times New Roman" w:hAnsi="Times New Roman"/>
          <w:color w:val="000000"/>
          <w:shd w:val="clear" w:color="auto" w:fill="FFFFFF"/>
        </w:rPr>
        <w:t>Мере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које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предузимају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надлежни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органи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као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резултат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„</w:t>
      </w:r>
      <w:r>
        <w:rPr>
          <w:rFonts w:ascii="Times New Roman" w:hAnsi="Times New Roman"/>
          <w:color w:val="000000"/>
          <w:shd w:val="clear" w:color="auto" w:fill="FFFFFF"/>
        </w:rPr>
        <w:t>црвене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заставице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“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других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показатеља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који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појаве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вези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одређеним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крајњим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корисником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током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процеса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прегледа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захтева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за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издавање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дозволе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041757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Производња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 w:rsidR="00041757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Означава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фазе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производње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развој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пројектовање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производа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производња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интеграција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монтажа</w:t>
      </w:r>
      <w:r w:rsidR="007C21FA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7C21FA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склапање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инспекција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тестирање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осигурање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квалитета</w:t>
      </w:r>
      <w:r w:rsidR="00041757" w:rsidRPr="003A13A3">
        <w:rPr>
          <w:rFonts w:ascii="Times New Roman" w:hAnsi="Times New Roman"/>
          <w:color w:val="000000"/>
        </w:rPr>
        <w:t>.“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57"/>
      </w:r>
    </w:p>
    <w:p w:rsidR="00041757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Предрачун</w:t>
      </w:r>
      <w:r w:rsidR="007C21FA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или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профактура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Рачун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издаје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добављач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коме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обавештава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купца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врстама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количинама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шаље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њеној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вредности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другим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спецификацијама</w:t>
      </w:r>
      <w:r w:rsidR="00041757" w:rsidRPr="003A13A3"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тежина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величина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итд</w:t>
      </w:r>
      <w:r w:rsidR="00041757" w:rsidRPr="003A13A3">
        <w:rPr>
          <w:rFonts w:ascii="Times New Roman" w:hAnsi="Times New Roman"/>
          <w:color w:val="000000"/>
        </w:rPr>
        <w:t>.).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58"/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</w:p>
    <w:p w:rsidR="00041757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Програм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 w:rsidR="00041757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Низ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упутстава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обављање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процеса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рачунару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претворивих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облик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извршити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рачунару</w:t>
      </w:r>
      <w:r w:rsidR="00041757" w:rsidRPr="003A13A3">
        <w:rPr>
          <w:rFonts w:ascii="Times New Roman" w:hAnsi="Times New Roman"/>
          <w:color w:val="000000"/>
        </w:rPr>
        <w:t>.“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59"/>
      </w:r>
    </w:p>
    <w:p w:rsidR="00041757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Финансирање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пролиферације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Чин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обезбеђивања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средстава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„</w:t>
      </w:r>
      <w:r>
        <w:rPr>
          <w:rFonts w:ascii="Times New Roman" w:hAnsi="Times New Roman"/>
          <w:color w:val="000000"/>
        </w:rPr>
        <w:t>различитих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повезаних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финансијских</w:t>
      </w:r>
      <w:r w:rsidR="007C21FA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услуга</w:t>
      </w:r>
      <w:r w:rsidR="007C21FA" w:rsidRPr="003A13A3">
        <w:rPr>
          <w:rFonts w:ascii="Times New Roman" w:hAnsi="Times New Roman"/>
          <w:color w:val="000000"/>
        </w:rPr>
        <w:t xml:space="preserve">“ </w:t>
      </w:r>
      <w:r>
        <w:rPr>
          <w:rFonts w:ascii="Times New Roman" w:hAnsi="Times New Roman"/>
          <w:color w:val="000000"/>
        </w:rPr>
        <w:t>за</w:t>
      </w:r>
      <w:r w:rsidR="007C21FA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пролиферацију</w:t>
      </w:r>
      <w:r w:rsidR="007C21FA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ширење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масовно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уништење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контролисаног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конвенционалног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система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доставе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повезане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двоструке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намене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60"/>
      </w:r>
    </w:p>
    <w:p w:rsidR="00041757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Јавни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домен</w:t>
      </w:r>
      <w:r w:rsidR="00041757" w:rsidRPr="003A13A3">
        <w:rPr>
          <w:rFonts w:ascii="Times New Roman" w:hAnsi="Times New Roman"/>
          <w:b/>
          <w:color w:val="000000"/>
        </w:rPr>
        <w:t xml:space="preserve"> / </w:t>
      </w:r>
      <w:r>
        <w:rPr>
          <w:rFonts w:ascii="Times New Roman" w:hAnsi="Times New Roman"/>
          <w:b/>
          <w:color w:val="000000"/>
        </w:rPr>
        <w:t>у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јавном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домену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 w:rsidR="00041757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Означава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информације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објављене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општедоступне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располагању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јавности</w:t>
      </w:r>
      <w:r w:rsidR="00041757" w:rsidRPr="003A13A3">
        <w:rPr>
          <w:rFonts w:ascii="Times New Roman" w:hAnsi="Times New Roman"/>
          <w:color w:val="000000"/>
        </w:rPr>
        <w:t>.“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61"/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укључује</w:t>
      </w:r>
      <w:r w:rsidR="00041757" w:rsidRPr="003A13A3">
        <w:rPr>
          <w:rFonts w:ascii="Times New Roman" w:hAnsi="Times New Roman"/>
          <w:color w:val="000000"/>
        </w:rPr>
        <w:t xml:space="preserve"> „</w:t>
      </w:r>
      <w:r>
        <w:rPr>
          <w:rFonts w:ascii="Times New Roman" w:hAnsi="Times New Roman"/>
          <w:color w:val="000000"/>
        </w:rPr>
        <w:t>технологију</w:t>
      </w:r>
      <w:r w:rsidR="00041757" w:rsidRPr="003A13A3">
        <w:rPr>
          <w:rFonts w:ascii="Times New Roman" w:hAnsi="Times New Roman"/>
          <w:color w:val="000000"/>
        </w:rPr>
        <w:t xml:space="preserve">“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„</w:t>
      </w:r>
      <w:r>
        <w:rPr>
          <w:rFonts w:ascii="Times New Roman" w:hAnsi="Times New Roman"/>
          <w:color w:val="000000"/>
        </w:rPr>
        <w:t>софтвер</w:t>
      </w:r>
      <w:r w:rsidR="00041757" w:rsidRPr="003A13A3">
        <w:rPr>
          <w:rFonts w:ascii="Times New Roman" w:hAnsi="Times New Roman"/>
          <w:color w:val="000000"/>
        </w:rPr>
        <w:t xml:space="preserve">“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располагању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ограничења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даљу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дисеминацију</w:t>
      </w:r>
      <w:r w:rsidR="00041757" w:rsidRPr="003A13A3">
        <w:rPr>
          <w:rFonts w:ascii="Times New Roman" w:hAnsi="Times New Roman"/>
          <w:color w:val="000000"/>
        </w:rPr>
        <w:t>.</w:t>
      </w:r>
    </w:p>
    <w:p w:rsidR="00041757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Јавно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доступне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информације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Информације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начелу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доступне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заинтересованој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јавности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било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облику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те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стога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подлежу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спољне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робом</w:t>
      </w:r>
      <w:r w:rsidR="00041757" w:rsidRPr="003A13A3">
        <w:rPr>
          <w:rFonts w:ascii="Times New Roman" w:hAnsi="Times New Roman"/>
          <w:color w:val="000000"/>
        </w:rPr>
        <w:t>.</w:t>
      </w:r>
    </w:p>
    <w:p w:rsidR="00041757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Индикатори</w:t>
      </w:r>
      <w:r w:rsidR="007C21FA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или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показатељи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црвене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заставице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 w:rsidR="00041757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Неуобичајене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околности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указују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намењен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неодговарајућу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неодговарајућег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крајњег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одредиште</w:t>
      </w:r>
      <w:r w:rsidR="00041757" w:rsidRPr="003A13A3">
        <w:rPr>
          <w:rFonts w:ascii="Times New Roman" w:hAnsi="Times New Roman"/>
          <w:color w:val="000000"/>
        </w:rPr>
        <w:t xml:space="preserve">. </w:t>
      </w:r>
    </w:p>
    <w:p w:rsidR="00041757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Регистрација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Евидентирање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правних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физичких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лица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желе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баве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пословима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извоза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увоза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војне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опреме</w:t>
      </w:r>
      <w:r w:rsidR="00FA4A39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Услови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документација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коју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неопходно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приложити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прописани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посебним</w:t>
      </w:r>
      <w:r w:rsidR="00FA4A39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Правилником</w:t>
      </w:r>
      <w:r w:rsidR="00FA4A39" w:rsidRPr="003A13A3">
        <w:rPr>
          <w:rFonts w:ascii="Times New Roman" w:hAnsi="Times New Roman"/>
          <w:color w:val="000000"/>
        </w:rPr>
        <w:t>.</w:t>
      </w:r>
    </w:p>
    <w:p w:rsidR="00164042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Сродне</w:t>
      </w:r>
      <w:r w:rsidR="00164042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услуге</w:t>
      </w:r>
      <w:r w:rsidR="00164042" w:rsidRPr="003A13A3">
        <w:rPr>
          <w:rFonts w:ascii="Times New Roman" w:hAnsi="Times New Roman"/>
          <w:b/>
          <w:color w:val="000000"/>
        </w:rPr>
        <w:t xml:space="preserve">:  </w:t>
      </w:r>
      <w:r>
        <w:rPr>
          <w:rFonts w:ascii="Times New Roman" w:hAnsi="Times New Roman"/>
          <w:color w:val="000000"/>
        </w:rPr>
        <w:t>Односи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сродне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услуге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могу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пружати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ради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омогућавања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трговинске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трансакције</w:t>
      </w:r>
      <w:r w:rsidR="00164042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што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техничка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помоћ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услуге</w:t>
      </w:r>
      <w:r w:rsidR="00164042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обука</w:t>
      </w:r>
      <w:r w:rsidR="00164042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транспорт</w:t>
      </w:r>
      <w:r w:rsidR="00164042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шпедициј</w:t>
      </w:r>
      <w:r w:rsidR="00F91A3C">
        <w:rPr>
          <w:rFonts w:ascii="Times New Roman" w:hAnsi="Times New Roman"/>
          <w:color w:val="000000"/>
          <w:lang w:val="sr-Cyrl-CS"/>
        </w:rPr>
        <w:t>а, складиштење, финансирање, о</w:t>
      </w:r>
      <w:r>
        <w:rPr>
          <w:rFonts w:ascii="Times New Roman" w:hAnsi="Times New Roman"/>
          <w:color w:val="000000"/>
        </w:rPr>
        <w:t>сигурање</w:t>
      </w:r>
      <w:r w:rsidR="00164042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одржавање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16404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безбедност</w:t>
      </w:r>
      <w:r w:rsidR="00164042" w:rsidRPr="003A13A3">
        <w:rPr>
          <w:rFonts w:ascii="Times New Roman" w:hAnsi="Times New Roman"/>
          <w:color w:val="000000"/>
        </w:rPr>
        <w:t>.</w:t>
      </w:r>
      <w:r w:rsidR="00164042" w:rsidRPr="003A13A3">
        <w:rPr>
          <w:rStyle w:val="EndnoteReference"/>
          <w:rFonts w:ascii="Times New Roman" w:hAnsi="Times New Roman"/>
          <w:color w:val="000000"/>
        </w:rPr>
        <w:endnoteReference w:id="62"/>
      </w:r>
    </w:p>
    <w:p w:rsidR="00041757" w:rsidRPr="00CD10F5" w:rsidRDefault="005B7DFA" w:rsidP="00FA4A39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</w:rPr>
        <w:t>Процена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ризика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Компаније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учествују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програмима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процене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ризика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извршиле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процену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оквира</w:t>
      </w:r>
      <w:r w:rsidR="00CD10F5">
        <w:rPr>
          <w:rFonts w:ascii="Times New Roman" w:hAnsi="Times New Roman"/>
          <w:color w:val="000000"/>
          <w:lang w:val="sr-Cyrl-CS"/>
        </w:rPr>
        <w:t>.</w:t>
      </w:r>
    </w:p>
    <w:p w:rsidR="00041757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Санкције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ембарго</w:t>
      </w:r>
    </w:p>
    <w:p w:rsidR="00041757" w:rsidRPr="003A13A3" w:rsidRDefault="005B7DFA" w:rsidP="00C519FF">
      <w:pPr>
        <w:tabs>
          <w:tab w:val="left" w:pos="720"/>
        </w:tabs>
        <w:spacing w:before="120" w:after="120"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Ембарго</w:t>
      </w:r>
      <w:r w:rsidR="00041757" w:rsidRPr="003A13A3">
        <w:rPr>
          <w:rFonts w:ascii="Times New Roman" w:hAnsi="Times New Roman"/>
          <w:color w:val="000000"/>
        </w:rPr>
        <w:t>: „</w:t>
      </w:r>
      <w:r>
        <w:rPr>
          <w:rFonts w:ascii="Times New Roman" w:hAnsi="Times New Roman"/>
          <w:color w:val="000000"/>
        </w:rPr>
        <w:t>Владина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забрана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увоза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погледу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одређених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одређених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страних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земаља</w:t>
      </w:r>
      <w:r w:rsidR="00041757" w:rsidRPr="003A13A3">
        <w:rPr>
          <w:rFonts w:ascii="Times New Roman" w:hAnsi="Times New Roman"/>
          <w:color w:val="000000"/>
        </w:rPr>
        <w:t>.“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63"/>
      </w:r>
    </w:p>
    <w:p w:rsidR="00041757" w:rsidRPr="003A13A3" w:rsidRDefault="005B7DFA" w:rsidP="00C519FF">
      <w:pPr>
        <w:tabs>
          <w:tab w:val="left" w:pos="720"/>
        </w:tabs>
        <w:spacing w:before="120" w:after="120" w:line="240" w:lineRule="auto"/>
        <w:ind w:left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Санкције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Санкције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дипломатско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средство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креће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ембарга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преко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економског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трговинског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до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дипломатског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Најзаступљеније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економске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санкције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дефинишу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као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повлачење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уобичајених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трговинских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финансијских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односа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за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потребе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спољне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безбедносне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политике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Оне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могу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бити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свеобухватне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да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забрањују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комерцијалне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активности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погледу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читаве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земље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могу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бити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циљане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да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блокирају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трансакције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одређених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предузећа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група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појединаца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.“</w:t>
      </w:r>
      <w:r w:rsidR="00041757" w:rsidRPr="003A13A3">
        <w:rPr>
          <w:rStyle w:val="EndnoteReference"/>
          <w:rFonts w:ascii="Times New Roman" w:hAnsi="Times New Roman"/>
          <w:color w:val="000000"/>
          <w:shd w:val="clear" w:color="auto" w:fill="FFFFFF"/>
        </w:rPr>
        <w:endnoteReference w:id="64"/>
      </w:r>
    </w:p>
    <w:p w:rsidR="00041757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Фиктивна</w:t>
      </w:r>
      <w:r w:rsidR="0088668A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предузећа</w:t>
      </w:r>
      <w:r w:rsidR="0088668A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или</w:t>
      </w:r>
      <w:r w:rsidR="0088668A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корпорације</w:t>
      </w:r>
      <w:r w:rsidR="00041757" w:rsidRPr="003A13A3">
        <w:rPr>
          <w:rFonts w:ascii="Times New Roman" w:hAnsi="Times New Roman"/>
          <w:b/>
          <w:color w:val="000000"/>
        </w:rPr>
        <w:t>: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Фиктивно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предузеће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правно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лице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служи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средство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пословне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само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неку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значајну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имовину</w:t>
      </w:r>
      <w:r w:rsidR="00041757" w:rsidRPr="003A13A3">
        <w:rPr>
          <w:rFonts w:ascii="Times New Roman" w:hAnsi="Times New Roman"/>
          <w:color w:val="000000"/>
        </w:rPr>
        <w:t>/</w:t>
      </w:r>
      <w:r w:rsidR="002554D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средства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пословање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запослене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Фиктивна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предузећа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ући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привлачно</w:t>
      </w:r>
      <w:r w:rsidR="000E6AC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средство</w:t>
      </w:r>
      <w:r w:rsidR="000E6AC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E6AC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оне</w:t>
      </w:r>
      <w:r w:rsidR="000E6AC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E6AC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E6AC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баве</w:t>
      </w:r>
      <w:r w:rsidR="000E6AC1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прањем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новца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финансијере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тероризма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желе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избегну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међународне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санкције</w:t>
      </w:r>
      <w:r w:rsidR="00041757" w:rsidRPr="003A13A3">
        <w:rPr>
          <w:rFonts w:ascii="Times New Roman" w:hAnsi="Times New Roman"/>
          <w:color w:val="000000"/>
        </w:rPr>
        <w:t xml:space="preserve">. </w:t>
      </w:r>
    </w:p>
    <w:p w:rsidR="00041757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Малокалибарско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лако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оружје</w:t>
      </w:r>
      <w:r w:rsidR="00041757" w:rsidRPr="003A13A3">
        <w:rPr>
          <w:rFonts w:ascii="Times New Roman" w:hAnsi="Times New Roman"/>
          <w:b/>
          <w:color w:val="000000"/>
        </w:rPr>
        <w:t>(</w:t>
      </w:r>
      <w:r w:rsidR="00CD10F5">
        <w:rPr>
          <w:rFonts w:ascii="Times New Roman" w:hAnsi="Times New Roman"/>
          <w:b/>
          <w:color w:val="000000"/>
          <w:lang w:val="en-US"/>
        </w:rPr>
        <w:t>SALW</w:t>
      </w:r>
      <w:r w:rsidR="00041757" w:rsidRPr="003A13A3">
        <w:rPr>
          <w:rFonts w:ascii="Times New Roman" w:hAnsi="Times New Roman"/>
          <w:b/>
          <w:color w:val="000000"/>
        </w:rPr>
        <w:t xml:space="preserve">): </w:t>
      </w:r>
      <w:r>
        <w:rPr>
          <w:rFonts w:ascii="Times New Roman" w:hAnsi="Times New Roman"/>
          <w:color w:val="000000"/>
          <w:shd w:val="clear" w:color="auto" w:fill="FFFFFF"/>
        </w:rPr>
        <w:t>Укључује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цивилно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приватно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војно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оружје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које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из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цеви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избацује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пројектил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под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условом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да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комад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тог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оружја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систем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може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носити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појединац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мали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број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људи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да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тај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комад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оружја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систем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могу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траспортовати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товарним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грлом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неким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лаким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возилом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  <w:shd w:val="clear" w:color="auto" w:fill="FFFFFF"/>
        </w:rPr>
        <w:endnoteReference w:id="65"/>
      </w:r>
    </w:p>
    <w:p w:rsidR="00041757" w:rsidRPr="003A13A3" w:rsidRDefault="005B7DFA" w:rsidP="00C519FF">
      <w:pPr>
        <w:tabs>
          <w:tab w:val="left" w:pos="720"/>
        </w:tabs>
        <w:spacing w:before="120" w:after="120" w:line="240" w:lineRule="auto"/>
        <w:ind w:left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Малокалибарско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оружје</w:t>
      </w:r>
      <w:r w:rsidR="00041757" w:rsidRPr="003A13A3">
        <w:rPr>
          <w:rFonts w:ascii="Times New Roman" w:hAnsi="Times New Roman"/>
          <w:b/>
          <w:color w:val="000000"/>
        </w:rPr>
        <w:t>:</w:t>
      </w:r>
      <w:r w:rsidR="00041757" w:rsidRPr="003A13A3">
        <w:rPr>
          <w:rFonts w:ascii="Times New Roman" w:hAnsi="Times New Roman"/>
          <w:color w:val="000000"/>
        </w:rPr>
        <w:t xml:space="preserve"> </w:t>
      </w:r>
      <w:hyperlink r:id="rId7" w:tgtFrame="_blank" w:tooltip="SAS-Research-Note-22.pdf (524 KB)" w:history="1">
        <w:r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Револвери</w:t>
        </w:r>
        <w:r w:rsidR="00041757" w:rsidRPr="003A13A3"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 xml:space="preserve"> </w:t>
        </w:r>
        <w:r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и</w:t>
        </w:r>
        <w:r w:rsidR="00041757" w:rsidRPr="003A13A3"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 xml:space="preserve"> </w:t>
        </w:r>
        <w:r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пиштољи</w:t>
        </w:r>
      </w:hyperlink>
      <w:r w:rsidR="000E6AC1" w:rsidRPr="003A13A3">
        <w:rPr>
          <w:rStyle w:val="Hyperlink"/>
          <w:rFonts w:ascii="Times New Roman" w:hAnsi="Times New Roman"/>
          <w:color w:val="000000"/>
          <w:u w:val="none"/>
          <w:shd w:val="clear" w:color="auto" w:fill="FFFFFF"/>
        </w:rPr>
        <w:t xml:space="preserve"> </w:t>
      </w:r>
      <w:r>
        <w:rPr>
          <w:rStyle w:val="Hyperlink"/>
          <w:rFonts w:ascii="Times New Roman" w:hAnsi="Times New Roman"/>
          <w:color w:val="000000"/>
          <w:u w:val="none"/>
          <w:shd w:val="clear" w:color="auto" w:fill="FFFFFF"/>
        </w:rPr>
        <w:t>са</w:t>
      </w:r>
      <w:r w:rsidR="000E6AC1" w:rsidRPr="003A13A3">
        <w:rPr>
          <w:rStyle w:val="Hyperlink"/>
          <w:rFonts w:ascii="Times New Roman" w:hAnsi="Times New Roman"/>
          <w:color w:val="000000"/>
          <w:u w:val="none"/>
          <w:shd w:val="clear" w:color="auto" w:fill="FFFFFF"/>
        </w:rPr>
        <w:t xml:space="preserve"> </w:t>
      </w:r>
      <w:r>
        <w:rPr>
          <w:rStyle w:val="Hyperlink"/>
          <w:rFonts w:ascii="Times New Roman" w:hAnsi="Times New Roman"/>
          <w:color w:val="000000"/>
          <w:u w:val="none"/>
          <w:shd w:val="clear" w:color="auto" w:fill="FFFFFF"/>
        </w:rPr>
        <w:t>оквиром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пушке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карабини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,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hyperlink r:id="rId8" w:tgtFrame="_blank" w:tooltip="SAS-Research-Note-25.pdf (355 KB)" w:history="1">
        <w:r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аутоматске</w:t>
        </w:r>
        <w:r w:rsidR="00041757" w:rsidRPr="003A13A3"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 xml:space="preserve"> </w:t>
        </w:r>
        <w:r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пушке</w:t>
        </w:r>
      </w:hyperlink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аутомати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лаки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митраљези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  <w:shd w:val="clear" w:color="auto" w:fill="FFFFFF"/>
        </w:rPr>
        <w:endnoteReference w:id="66"/>
      </w:r>
    </w:p>
    <w:p w:rsidR="00041757" w:rsidRPr="003A13A3" w:rsidRDefault="005B7DFA" w:rsidP="00C519FF">
      <w:pPr>
        <w:tabs>
          <w:tab w:val="left" w:pos="720"/>
        </w:tabs>
        <w:spacing w:before="120" w:after="120" w:line="240" w:lineRule="auto"/>
        <w:ind w:left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Лако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оружје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hyperlink r:id="rId9" w:tgtFrame="_blank" w:tooltip="SAS-Research-Note-5.pdf (312 KB)" w:history="1">
        <w:r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Тешки</w:t>
        </w:r>
        <w:r w:rsidR="00041757" w:rsidRPr="003A13A3"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 xml:space="preserve"> </w:t>
        </w:r>
        <w:r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митраљези</w:t>
        </w:r>
      </w:hyperlink>
      <w:r w:rsidR="000E6AC1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ручни</w:t>
      </w:r>
      <w:r w:rsidR="000E6AC1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потцевни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бацачи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граната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бацачи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граната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који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могу</w:t>
      </w:r>
      <w:r w:rsidR="000E6AC1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монтирати</w:t>
      </w:r>
      <w:r w:rsidR="000E6AC1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на</w:t>
      </w:r>
      <w:r w:rsidR="000E6AC1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возила</w:t>
      </w:r>
      <w:r w:rsidR="000E6AC1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ручни</w:t>
      </w:r>
      <w:r w:rsidR="000E6AC1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или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противваздухопловни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топови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бестрзајне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пушке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ручни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лансери</w:t>
      </w:r>
      <w:hyperlink r:id="rId10" w:tgtFrame="_blank" w:tooltip="SAS-Research-Note-16.pdf (687 KB)" w:history="1">
        <w:r w:rsidR="00041757" w:rsidRPr="003A13A3"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 xml:space="preserve"> </w:t>
        </w:r>
        <w:r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противоклопних</w:t>
        </w:r>
        <w:r w:rsidR="00041757" w:rsidRPr="003A13A3"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 xml:space="preserve"> </w:t>
        </w:r>
        <w:r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пројектила</w:t>
        </w:r>
      </w:hyperlink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ракетни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системи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; </w:t>
      </w:r>
      <w:hyperlink r:id="rId11" w:tgtFrame="_blank" w:tooltip="SAS-Research-Note-1.pdf (402 KB)" w:history="1">
        <w:r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ручни</w:t>
        </w:r>
        <w:r w:rsidR="00041757" w:rsidRPr="003A13A3"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 xml:space="preserve"> </w:t>
        </w:r>
        <w:r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ракетни</w:t>
        </w:r>
        <w:r w:rsidR="00041757" w:rsidRPr="003A13A3"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 xml:space="preserve"> </w:t>
        </w:r>
        <w:r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системи</w:t>
        </w:r>
        <w:r w:rsidR="00041757" w:rsidRPr="003A13A3"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 xml:space="preserve"> </w:t>
        </w:r>
        <w:r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за</w:t>
        </w:r>
        <w:r w:rsidR="00041757" w:rsidRPr="003A13A3"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 xml:space="preserve"> </w:t>
        </w:r>
        <w:r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противваздушну</w:t>
        </w:r>
        <w:r w:rsidR="00041757" w:rsidRPr="003A13A3"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 xml:space="preserve"> </w:t>
        </w:r>
        <w:r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одбрану</w:t>
        </w:r>
        <w:r w:rsidR="00041757" w:rsidRPr="003A13A3"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(</w:t>
        </w:r>
        <w:r w:rsidR="00CD10F5" w:rsidRPr="00CD10F5">
          <w:rPr>
            <w:rFonts w:ascii="Times New Roman" w:hAnsi="Times New Roman"/>
            <w:color w:val="000000"/>
            <w:shd w:val="clear" w:color="auto" w:fill="FFFFFF"/>
          </w:rPr>
          <w:t>MANPADS</w:t>
        </w:r>
        <w:r w:rsidR="00041757" w:rsidRPr="003A13A3"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)</w:t>
        </w:r>
      </w:hyperlink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; 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 w:rsidR="0004175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hyperlink r:id="rId12" w:tgtFrame="_blank" w:tooltip="SAS-Research-Note-2.pdf (294 KB)" w:history="1">
        <w:r>
          <w:rPr>
            <w:rStyle w:val="Hyperlink"/>
            <w:rFonts w:ascii="Times New Roman" w:hAnsi="Times New Roman"/>
            <w:color w:val="000000"/>
            <w:u w:val="none"/>
            <w:shd w:val="clear" w:color="auto" w:fill="FFFFFF"/>
          </w:rPr>
          <w:t>минобацачи</w:t>
        </w:r>
      </w:hyperlink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калибра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мањег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од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100 </w:t>
      </w:r>
      <w:r>
        <w:rPr>
          <w:rFonts w:ascii="Times New Roman" w:hAnsi="Times New Roman"/>
          <w:color w:val="000000"/>
          <w:shd w:val="clear" w:color="auto" w:fill="FFFFFF"/>
        </w:rPr>
        <w:t>мм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  <w:shd w:val="clear" w:color="auto" w:fill="FFFFFF"/>
        </w:rPr>
        <w:endnoteReference w:id="67"/>
      </w:r>
    </w:p>
    <w:p w:rsidR="00041757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Стратешка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роба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 w:rsidR="00041757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технологије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укључујући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софтвер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чија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трансфер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импликације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националну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међународну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безбедност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Ова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категорија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обухвата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конвенционално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хемијско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биолошко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нуклеарно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системе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њихову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доставу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поред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материјала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опреме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знања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доприносе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њиховом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развоју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производњи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одржавању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употреби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Многи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материјали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опрема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знање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повезани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стварањем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двоструке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будући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такође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мирољубиве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комерцијалне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примене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стварајући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тако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изазове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надлежне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осигура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њихова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законите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сврхе</w:t>
      </w:r>
      <w:r w:rsidR="00041757" w:rsidRPr="003A13A3">
        <w:rPr>
          <w:rFonts w:ascii="Times New Roman" w:hAnsi="Times New Roman"/>
          <w:color w:val="000000"/>
        </w:rPr>
        <w:t>.“</w:t>
      </w:r>
      <w:r w:rsidR="00041757" w:rsidRPr="003A13A3">
        <w:rPr>
          <w:rStyle w:val="EndnoteReference"/>
          <w:rFonts w:ascii="Times New Roman" w:hAnsi="Times New Roman"/>
          <w:iCs/>
          <w:color w:val="000000"/>
        </w:rPr>
        <w:t xml:space="preserve"> </w:t>
      </w:r>
      <w:r w:rsidR="00041757" w:rsidRPr="003A13A3">
        <w:rPr>
          <w:rStyle w:val="EndnoteReference"/>
          <w:rFonts w:ascii="Times New Roman" w:hAnsi="Times New Roman"/>
          <w:iCs/>
          <w:color w:val="000000"/>
        </w:rPr>
        <w:endnoteReference w:id="68"/>
      </w:r>
    </w:p>
    <w:p w:rsidR="00041757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Контрола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спољне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трговине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стратешком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робом</w:t>
      </w:r>
      <w:r w:rsidR="00041757" w:rsidRPr="003A13A3">
        <w:rPr>
          <w:rFonts w:ascii="Times New Roman" w:hAnsi="Times New Roman"/>
          <w:b/>
          <w:color w:val="000000"/>
        </w:rPr>
        <w:t>(</w:t>
      </w:r>
      <w:r w:rsidR="00CD10F5">
        <w:rPr>
          <w:rFonts w:ascii="Times New Roman" w:hAnsi="Times New Roman"/>
          <w:b/>
          <w:color w:val="000000"/>
        </w:rPr>
        <w:t>STC</w:t>
      </w:r>
      <w:r w:rsidR="00041757" w:rsidRPr="003A13A3">
        <w:rPr>
          <w:rFonts w:ascii="Times New Roman" w:hAnsi="Times New Roman"/>
          <w:b/>
          <w:color w:val="000000"/>
        </w:rPr>
        <w:t xml:space="preserve">): </w:t>
      </w:r>
      <w:r w:rsidR="00041757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Контрола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спољне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 w:rsidR="00CD10F5">
        <w:rPr>
          <w:rFonts w:ascii="Times New Roman" w:hAnsi="Times New Roman"/>
          <w:color w:val="000000"/>
        </w:rPr>
        <w:t>STC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понекад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назива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контрола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збирно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дефинише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прописи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посебна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правила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ограничења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административни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поступци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уређују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производе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предузећа</w:t>
      </w:r>
      <w:r w:rsidR="00041757" w:rsidRPr="003A13A3">
        <w:rPr>
          <w:rFonts w:ascii="Times New Roman" w:hAnsi="Times New Roman"/>
          <w:color w:val="000000"/>
        </w:rPr>
        <w:t xml:space="preserve">/ </w:t>
      </w:r>
      <w:r>
        <w:rPr>
          <w:rFonts w:ascii="Times New Roman" w:hAnsi="Times New Roman"/>
          <w:color w:val="000000"/>
        </w:rPr>
        <w:t>привредне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субјекте</w:t>
      </w:r>
      <w:r w:rsidR="00041757" w:rsidRPr="003A13A3">
        <w:rPr>
          <w:rFonts w:ascii="Times New Roman" w:hAnsi="Times New Roman"/>
          <w:color w:val="000000"/>
        </w:rPr>
        <w:t xml:space="preserve">/ </w:t>
      </w:r>
      <w:r>
        <w:rPr>
          <w:rFonts w:ascii="Times New Roman" w:hAnsi="Times New Roman"/>
          <w:color w:val="000000"/>
        </w:rPr>
        <w:t>појединце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постоји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могућност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ће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производи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користити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сврхе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масовно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уништење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конвенционалним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оружјем</w:t>
      </w:r>
      <w:r w:rsidR="00041757" w:rsidRPr="003A13A3">
        <w:rPr>
          <w:rFonts w:ascii="Times New Roman" w:hAnsi="Times New Roman"/>
          <w:color w:val="000000"/>
        </w:rPr>
        <w:t xml:space="preserve">.“ </w:t>
      </w:r>
    </w:p>
    <w:p w:rsidR="00041757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Усклађеност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са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прописима</w:t>
      </w:r>
      <w:r w:rsidR="00BD5BC8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</w:t>
      </w:r>
      <w:r w:rsidR="00BD5BC8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контроли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спољне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трговине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стратешком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робом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Односи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радње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чињеницу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придржавања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поштовања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правила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захтева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области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спољне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стратешком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робом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ширем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смислу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термин</w:t>
      </w:r>
      <w:r w:rsidR="00041757" w:rsidRPr="003A13A3">
        <w:rPr>
          <w:rFonts w:ascii="Times New Roman" w:hAnsi="Times New Roman"/>
          <w:color w:val="000000"/>
        </w:rPr>
        <w:t xml:space="preserve"> „</w:t>
      </w:r>
      <w:r>
        <w:rPr>
          <w:rFonts w:ascii="Times New Roman" w:hAnsi="Times New Roman"/>
          <w:color w:val="000000"/>
        </w:rPr>
        <w:t>поштовање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трговинских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прописа</w:t>
      </w:r>
      <w:r w:rsidR="00041757" w:rsidRPr="003A13A3">
        <w:rPr>
          <w:rFonts w:ascii="Times New Roman" w:hAnsi="Times New Roman"/>
          <w:color w:val="000000"/>
        </w:rPr>
        <w:t>“</w:t>
      </w:r>
      <w:r w:rsidR="00771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обухвата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важеће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законске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обавезе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забране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примењују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спољну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трговину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нпр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усклађеност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законима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борби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против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корупције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примању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мита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мерама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заштиту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животне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средине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здравља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безбедности</w:t>
      </w:r>
      <w:r w:rsidR="00041757" w:rsidRPr="003A13A3">
        <w:rPr>
          <w:rFonts w:ascii="Times New Roman" w:hAnsi="Times New Roman"/>
          <w:color w:val="000000"/>
        </w:rPr>
        <w:t xml:space="preserve"> (</w:t>
      </w:r>
      <w:r w:rsidR="00CD10F5">
        <w:rPr>
          <w:rFonts w:ascii="Times New Roman" w:hAnsi="Times New Roman"/>
          <w:color w:val="000000"/>
        </w:rPr>
        <w:t>EHS</w:t>
      </w:r>
      <w:r w:rsidR="00041757" w:rsidRPr="003A13A3">
        <w:rPr>
          <w:rFonts w:ascii="Times New Roman" w:hAnsi="Times New Roman"/>
          <w:color w:val="000000"/>
        </w:rPr>
        <w:t>)).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69"/>
      </w:r>
    </w:p>
    <w:p w:rsidR="00B12A63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Техничка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помоћ</w:t>
      </w:r>
      <w:r w:rsidR="005E070D" w:rsidRPr="003A13A3">
        <w:rPr>
          <w:rFonts w:ascii="Times New Roman" w:hAnsi="Times New Roman"/>
          <w:b/>
          <w:color w:val="000000"/>
        </w:rPr>
        <w:t xml:space="preserve">: </w:t>
      </w:r>
      <w:r w:rsidR="005E070D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Техничка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помоћ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имати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облик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подучавања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стручних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обука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радног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знања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консултантских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услуга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такође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укључивати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пренос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односно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трансфер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техничких</w:t>
      </w:r>
      <w:r w:rsidR="005E070D" w:rsidRPr="003A13A3"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података</w:t>
      </w:r>
      <w:r w:rsidR="005E070D" w:rsidRPr="003A13A3">
        <w:rPr>
          <w:rFonts w:ascii="Times New Roman" w:hAnsi="Times New Roman"/>
          <w:color w:val="000000"/>
        </w:rPr>
        <w:t>.“</w:t>
      </w:r>
      <w:r w:rsidR="005E070D" w:rsidRPr="003A13A3">
        <w:rPr>
          <w:rStyle w:val="EndnoteReference"/>
          <w:rFonts w:ascii="Times New Roman" w:hAnsi="Times New Roman"/>
          <w:color w:val="000000"/>
        </w:rPr>
        <w:endnoteReference w:id="70"/>
      </w:r>
      <w:r w:rsidR="005E070D" w:rsidRPr="003A13A3">
        <w:rPr>
          <w:rFonts w:ascii="Times New Roman" w:hAnsi="Times New Roman"/>
          <w:color w:val="000000"/>
        </w:rPr>
        <w:t xml:space="preserve"> * </w:t>
      </w:r>
    </w:p>
    <w:p w:rsidR="005E070D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Технички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подаци</w:t>
      </w:r>
      <w:r w:rsidR="005E070D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Подаци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неопходни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пројекат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развој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производњу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израду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монтажу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рад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поправку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тестирање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одржавање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модификацију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контролисаних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производа</w:t>
      </w:r>
      <w:r w:rsidR="005E070D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Технички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подаци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могу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бити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виду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нацрта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планова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цртежа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дијаграма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фотографија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модела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формула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табела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техничких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пројеката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спецификација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приручника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упутстава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написаних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забележених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другим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медијумима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уређајима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што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диск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трака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 w:rsidR="00906121">
        <w:rPr>
          <w:rFonts w:ascii="Times New Roman" w:hAnsi="Times New Roman"/>
          <w:color w:val="000000"/>
        </w:rPr>
        <w:t>ROM</w:t>
      </w:r>
      <w:r w:rsidR="005E070D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меморије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само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читање</w:t>
      </w:r>
      <w:r w:rsidR="005E070D" w:rsidRPr="003A13A3">
        <w:rPr>
          <w:rFonts w:ascii="Times New Roman" w:hAnsi="Times New Roman"/>
          <w:color w:val="000000"/>
        </w:rPr>
        <w:t xml:space="preserve">). </w:t>
      </w:r>
    </w:p>
    <w:p w:rsidR="001E2F24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Технологија</w:t>
      </w:r>
      <w:r w:rsidR="005E070D" w:rsidRPr="003A13A3">
        <w:rPr>
          <w:rFonts w:ascii="Times New Roman" w:hAnsi="Times New Roman"/>
          <w:b/>
          <w:color w:val="000000"/>
        </w:rPr>
        <w:t xml:space="preserve">: </w:t>
      </w:r>
      <w:r w:rsidR="005E070D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Све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посебне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информације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 w:rsidR="00FA4A39">
        <w:rPr>
          <w:rFonts w:ascii="Times New Roman" w:hAnsi="Times New Roman"/>
          <w:i/>
          <w:color w:val="000000"/>
        </w:rPr>
        <w:t>k</w:t>
      </w:r>
      <w:r w:rsidR="00FA4A39" w:rsidRPr="004561AE">
        <w:rPr>
          <w:rFonts w:ascii="Times New Roman" w:hAnsi="Times New Roman"/>
          <w:i/>
          <w:color w:val="000000"/>
        </w:rPr>
        <w:t>now-</w:t>
      </w:r>
      <w:r w:rsidR="00FA4A39">
        <w:rPr>
          <w:rFonts w:ascii="Times New Roman" w:hAnsi="Times New Roman"/>
          <w:i/>
          <w:color w:val="000000"/>
        </w:rPr>
        <w:t>h</w:t>
      </w:r>
      <w:r w:rsidR="00FA4A39" w:rsidRPr="004561AE">
        <w:rPr>
          <w:rFonts w:ascii="Times New Roman" w:hAnsi="Times New Roman"/>
          <w:i/>
          <w:color w:val="000000"/>
        </w:rPr>
        <w:t>ow</w:t>
      </w:r>
      <w:r w:rsidR="005E070D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било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материјалном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облику</w:t>
      </w:r>
      <w:r w:rsidR="0031170C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31170C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што</w:t>
      </w:r>
      <w:r w:rsidR="0031170C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31170C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модели</w:t>
      </w:r>
      <w:r w:rsidR="0031170C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прототипи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цртежи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скице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дијаграми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нацрти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приручници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софтвер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или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нематеријалном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облику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што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обука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техничке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услуге</w:t>
      </w:r>
      <w:r w:rsidR="005E070D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који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неопходни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развој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производњу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коришћење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али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сама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5E070D" w:rsidRPr="003A13A3">
        <w:rPr>
          <w:rFonts w:ascii="Times New Roman" w:hAnsi="Times New Roman"/>
          <w:color w:val="000000"/>
        </w:rPr>
        <w:t xml:space="preserve">.“ </w:t>
      </w:r>
      <w:r>
        <w:rPr>
          <w:rFonts w:ascii="Times New Roman" w:hAnsi="Times New Roman"/>
          <w:color w:val="000000"/>
        </w:rPr>
        <w:t>Те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информације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имају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облик</w:t>
      </w:r>
      <w:r w:rsidR="005E070D" w:rsidRPr="003A13A3">
        <w:rPr>
          <w:rFonts w:ascii="Times New Roman" w:hAnsi="Times New Roman"/>
          <w:color w:val="000000"/>
        </w:rPr>
        <w:t xml:space="preserve"> „</w:t>
      </w:r>
      <w:r>
        <w:rPr>
          <w:rFonts w:ascii="Times New Roman" w:hAnsi="Times New Roman"/>
          <w:color w:val="000000"/>
        </w:rPr>
        <w:t>техничких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података</w:t>
      </w:r>
      <w:r w:rsidR="005E070D" w:rsidRPr="003A13A3">
        <w:rPr>
          <w:rFonts w:ascii="Times New Roman" w:hAnsi="Times New Roman"/>
          <w:color w:val="000000"/>
        </w:rPr>
        <w:t xml:space="preserve">“ </w:t>
      </w:r>
      <w:r>
        <w:rPr>
          <w:rFonts w:ascii="Times New Roman" w:hAnsi="Times New Roman"/>
          <w:color w:val="000000"/>
        </w:rPr>
        <w:t>или</w:t>
      </w:r>
      <w:r w:rsidR="005E070D" w:rsidRPr="003A13A3">
        <w:rPr>
          <w:rFonts w:ascii="Times New Roman" w:hAnsi="Times New Roman"/>
          <w:color w:val="000000"/>
        </w:rPr>
        <w:t xml:space="preserve"> „</w:t>
      </w:r>
      <w:r>
        <w:rPr>
          <w:rFonts w:ascii="Times New Roman" w:hAnsi="Times New Roman"/>
          <w:color w:val="000000"/>
        </w:rPr>
        <w:t>техничке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помоћи</w:t>
      </w:r>
      <w:r w:rsidR="005E070D" w:rsidRPr="003A13A3">
        <w:rPr>
          <w:rFonts w:ascii="Times New Roman" w:hAnsi="Times New Roman"/>
          <w:color w:val="000000"/>
        </w:rPr>
        <w:t>“.</w:t>
      </w:r>
    </w:p>
    <w:p w:rsidR="00041757" w:rsidRPr="003A13A3" w:rsidRDefault="005B7DFA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Трансфер</w:t>
      </w:r>
      <w:r w:rsidR="0031170C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технологије</w:t>
      </w:r>
      <w:r w:rsidR="0031170C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или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пренос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технологије</w:t>
      </w:r>
      <w:r w:rsidR="005E070D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Објављивање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пренос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техничких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података</w:t>
      </w:r>
      <w:r w:rsidR="005E070D" w:rsidRPr="003A13A3"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било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видљивим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невидљивим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средствима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укључујући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усмено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визуелно</w:t>
      </w:r>
      <w:r w:rsidR="005E070D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или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пружање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техничке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помоћи</w:t>
      </w:r>
      <w:r w:rsidR="005E070D" w:rsidRPr="003A13A3">
        <w:rPr>
          <w:rFonts w:ascii="Times New Roman" w:hAnsi="Times New Roman"/>
          <w:color w:val="000000"/>
        </w:rPr>
        <w:t xml:space="preserve">. </w:t>
      </w:r>
    </w:p>
    <w:p w:rsidR="00041757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Олакшавање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трговине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 w:rsidR="00041757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  <w:shd w:val="clear" w:color="auto" w:fill="FFFFFF"/>
        </w:rPr>
        <w:t>Уклањање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препрека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за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кретање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робе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преко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граница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(</w:t>
      </w:r>
      <w:r>
        <w:rPr>
          <w:rFonts w:ascii="Times New Roman" w:hAnsi="Times New Roman"/>
          <w:color w:val="000000"/>
          <w:shd w:val="clear" w:color="auto" w:fill="FFFFFF"/>
        </w:rPr>
        <w:t>нпр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поједностављење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царинских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поступака</w:t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).</w:t>
      </w:r>
      <w:r w:rsidR="00041757" w:rsidRPr="003A13A3">
        <w:rPr>
          <w:rStyle w:val="EndnoteReference"/>
          <w:rFonts w:ascii="Times New Roman" w:hAnsi="Times New Roman"/>
          <w:color w:val="000000"/>
          <w:shd w:val="clear" w:color="auto" w:fill="FFFFFF"/>
        </w:rPr>
        <w:endnoteReference w:id="71"/>
      </w:r>
      <w:r w:rsidR="00041757" w:rsidRPr="003A13A3">
        <w:rPr>
          <w:rFonts w:ascii="Times New Roman" w:hAnsi="Times New Roman"/>
          <w:color w:val="000000"/>
          <w:shd w:val="clear" w:color="auto" w:fill="FFFFFF"/>
        </w:rPr>
        <w:t>”</w:t>
      </w:r>
    </w:p>
    <w:p w:rsidR="00607269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Транзит</w:t>
      </w:r>
      <w:r w:rsidR="00041757" w:rsidRPr="003A13A3">
        <w:rPr>
          <w:rFonts w:ascii="Times New Roman" w:hAnsi="Times New Roman"/>
          <w:b/>
          <w:color w:val="000000"/>
        </w:rPr>
        <w:t xml:space="preserve">, </w:t>
      </w:r>
      <w:r>
        <w:rPr>
          <w:rFonts w:ascii="Times New Roman" w:hAnsi="Times New Roman"/>
          <w:b/>
          <w:color w:val="000000"/>
        </w:rPr>
        <w:t>провоз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Транзит</w:t>
      </w:r>
      <w:r w:rsidR="00F12DD2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тј</w:t>
      </w:r>
      <w:r w:rsidR="00F12DD2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провоз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обухвата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кретање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држава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извоза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кроз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држава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транзита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копном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морем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ваздухом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држава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увоза</w:t>
      </w:r>
      <w:r w:rsidR="00041757" w:rsidRPr="003A13A3"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color w:val="000000"/>
        </w:rPr>
        <w:t>где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промене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врсти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односно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превозном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средству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72"/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примаоца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транзита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транзиту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улази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главну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царинску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територију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оквиру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ЕУ</w:t>
      </w:r>
      <w:r w:rsidR="00041757" w:rsidRPr="003A13A3">
        <w:rPr>
          <w:rFonts w:ascii="Times New Roman" w:hAnsi="Times New Roman"/>
          <w:color w:val="000000"/>
        </w:rPr>
        <w:t>, „</w:t>
      </w:r>
      <w:r>
        <w:rPr>
          <w:rFonts w:ascii="Times New Roman" w:hAnsi="Times New Roman"/>
          <w:color w:val="000000"/>
        </w:rPr>
        <w:t>транзит</w:t>
      </w:r>
      <w:r w:rsidR="00041757" w:rsidRPr="003A13A3">
        <w:rPr>
          <w:rFonts w:ascii="Times New Roman" w:hAnsi="Times New Roman"/>
          <w:color w:val="000000"/>
        </w:rPr>
        <w:t xml:space="preserve">“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дефинише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потиче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Заједнице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улази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пролази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кроз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царинску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територију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Заједнице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одредиштем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изван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Заједнице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73"/>
      </w:r>
      <w:r w:rsidR="00041757" w:rsidRPr="003A13A3">
        <w:rPr>
          <w:rFonts w:ascii="Times New Roman" w:hAnsi="Times New Roman"/>
          <w:color w:val="000000"/>
        </w:rPr>
        <w:t xml:space="preserve"> </w:t>
      </w:r>
    </w:p>
    <w:p w:rsidR="00041757" w:rsidRPr="003A13A3" w:rsidRDefault="00041757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color w:val="000000"/>
        </w:rPr>
      </w:pPr>
      <w:r w:rsidRPr="003A13A3">
        <w:rPr>
          <w:rFonts w:ascii="Times New Roman" w:hAnsi="Times New Roman"/>
          <w:color w:val="000000"/>
        </w:rPr>
        <w:t xml:space="preserve">* </w:t>
      </w:r>
      <w:r w:rsidR="005B7DFA">
        <w:rPr>
          <w:rFonts w:ascii="Times New Roman" w:hAnsi="Times New Roman"/>
          <w:i/>
          <w:color w:val="000000"/>
        </w:rPr>
        <w:t>Обавезно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проверите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да</w:t>
      </w:r>
      <w:r w:rsidR="00F12DD2"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ли</w:t>
      </w:r>
      <w:r w:rsidR="00F12DD2"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у</w:t>
      </w:r>
      <w:r w:rsidR="00F12DD2"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прописима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ваше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земље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у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области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контроле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спољне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трговине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стратешком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робом</w:t>
      </w:r>
      <w:r w:rsidRPr="003A13A3">
        <w:rPr>
          <w:rFonts w:ascii="Times New Roman" w:hAnsi="Times New Roman"/>
          <w:i/>
          <w:color w:val="000000"/>
        </w:rPr>
        <w:t xml:space="preserve">, </w:t>
      </w:r>
      <w:r w:rsidR="005B7DFA">
        <w:rPr>
          <w:rFonts w:ascii="Times New Roman" w:hAnsi="Times New Roman"/>
          <w:i/>
          <w:color w:val="000000"/>
        </w:rPr>
        <w:t>као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и</w:t>
      </w:r>
      <w:r w:rsidR="00F12DD2"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другим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прописима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постоји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утврђена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дефиниција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појма</w:t>
      </w:r>
      <w:r w:rsidRPr="003A13A3">
        <w:rPr>
          <w:rFonts w:ascii="Times New Roman" w:hAnsi="Times New Roman"/>
          <w:i/>
          <w:color w:val="000000"/>
        </w:rPr>
        <w:t xml:space="preserve"> „</w:t>
      </w:r>
      <w:r w:rsidR="005B7DFA">
        <w:rPr>
          <w:rFonts w:ascii="Times New Roman" w:hAnsi="Times New Roman"/>
          <w:i/>
          <w:color w:val="000000"/>
        </w:rPr>
        <w:t>транзит</w:t>
      </w:r>
      <w:r w:rsidRPr="003A13A3">
        <w:rPr>
          <w:rFonts w:ascii="Times New Roman" w:hAnsi="Times New Roman"/>
          <w:i/>
          <w:color w:val="000000"/>
        </w:rPr>
        <w:t>/</w:t>
      </w:r>
      <w:r w:rsidR="005B7DFA">
        <w:rPr>
          <w:rFonts w:ascii="Times New Roman" w:hAnsi="Times New Roman"/>
          <w:i/>
          <w:color w:val="000000"/>
        </w:rPr>
        <w:t>провоз</w:t>
      </w:r>
      <w:r w:rsidRPr="003A13A3">
        <w:rPr>
          <w:rFonts w:ascii="Times New Roman" w:hAnsi="Times New Roman"/>
          <w:i/>
          <w:color w:val="000000"/>
        </w:rPr>
        <w:t>“.</w:t>
      </w:r>
    </w:p>
    <w:p w:rsidR="00607269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Транспорт</w:t>
      </w:r>
      <w:r w:rsidR="00041757" w:rsidRPr="003A13A3">
        <w:rPr>
          <w:rFonts w:ascii="Times New Roman" w:hAnsi="Times New Roman"/>
          <w:b/>
          <w:color w:val="000000"/>
        </w:rPr>
        <w:t xml:space="preserve">, </w:t>
      </w:r>
      <w:r>
        <w:rPr>
          <w:rFonts w:ascii="Times New Roman" w:hAnsi="Times New Roman"/>
          <w:b/>
          <w:color w:val="000000"/>
        </w:rPr>
        <w:t>превоз</w:t>
      </w:r>
      <w:r w:rsidR="00F12DD2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Кретање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људи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производа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једног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места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друго</w:t>
      </w:r>
      <w:r w:rsidR="00041757" w:rsidRPr="003A13A3">
        <w:rPr>
          <w:rFonts w:ascii="Times New Roman" w:hAnsi="Times New Roman"/>
          <w:color w:val="000000"/>
        </w:rPr>
        <w:t xml:space="preserve">. </w:t>
      </w:r>
    </w:p>
    <w:p w:rsidR="00041757" w:rsidRPr="003A13A3" w:rsidRDefault="00041757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 w:rsidRPr="003A13A3">
        <w:rPr>
          <w:rFonts w:ascii="Times New Roman" w:hAnsi="Times New Roman"/>
          <w:color w:val="000000"/>
        </w:rPr>
        <w:t xml:space="preserve">* </w:t>
      </w:r>
      <w:r w:rsidR="005B7DFA">
        <w:rPr>
          <w:rFonts w:ascii="Times New Roman" w:hAnsi="Times New Roman"/>
          <w:i/>
          <w:color w:val="000000"/>
        </w:rPr>
        <w:t>Обавезно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проверите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да</w:t>
      </w:r>
      <w:r w:rsidR="00F12DD2"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ли</w:t>
      </w:r>
      <w:r w:rsidR="00F12DD2"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у</w:t>
      </w:r>
      <w:r w:rsidR="00F12DD2"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прописима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ваше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земље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у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области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контроле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спољне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трговине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стратешком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робом</w:t>
      </w:r>
      <w:r w:rsidRPr="003A13A3">
        <w:rPr>
          <w:rFonts w:ascii="Times New Roman" w:hAnsi="Times New Roman"/>
          <w:i/>
          <w:color w:val="000000"/>
        </w:rPr>
        <w:t xml:space="preserve">, </w:t>
      </w:r>
      <w:r w:rsidR="005B7DFA">
        <w:rPr>
          <w:rFonts w:ascii="Times New Roman" w:hAnsi="Times New Roman"/>
          <w:i/>
          <w:color w:val="000000"/>
        </w:rPr>
        <w:t>као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и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у</w:t>
      </w:r>
      <w:r w:rsidR="00F12DD2"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другим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прописима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постоји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утврђена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дефиниција</w:t>
      </w:r>
      <w:r w:rsidRPr="003A13A3">
        <w:rPr>
          <w:rFonts w:ascii="Times New Roman" w:hAnsi="Times New Roman"/>
          <w:i/>
          <w:color w:val="000000"/>
        </w:rPr>
        <w:t xml:space="preserve"> </w:t>
      </w:r>
      <w:r w:rsidR="005B7DFA">
        <w:rPr>
          <w:rFonts w:ascii="Times New Roman" w:hAnsi="Times New Roman"/>
          <w:i/>
          <w:color w:val="000000"/>
        </w:rPr>
        <w:t>појма</w:t>
      </w:r>
      <w:r w:rsidRPr="003A13A3">
        <w:rPr>
          <w:rFonts w:ascii="Times New Roman" w:hAnsi="Times New Roman"/>
          <w:i/>
          <w:color w:val="000000"/>
        </w:rPr>
        <w:t xml:space="preserve"> „</w:t>
      </w:r>
      <w:r w:rsidR="005B7DFA">
        <w:rPr>
          <w:rFonts w:ascii="Times New Roman" w:hAnsi="Times New Roman"/>
          <w:i/>
          <w:color w:val="000000"/>
        </w:rPr>
        <w:t>транспорт</w:t>
      </w:r>
      <w:r w:rsidRPr="003A13A3">
        <w:rPr>
          <w:rFonts w:ascii="Times New Roman" w:hAnsi="Times New Roman"/>
          <w:i/>
          <w:color w:val="000000"/>
        </w:rPr>
        <w:t>“.</w:t>
      </w:r>
    </w:p>
    <w:p w:rsidR="00041757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Посредник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</w:t>
      </w:r>
      <w:r w:rsidR="00041757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превозу</w:t>
      </w:r>
      <w:r w:rsidR="00041757" w:rsidRPr="003A13A3">
        <w:rPr>
          <w:rFonts w:ascii="Times New Roman" w:hAnsi="Times New Roman"/>
          <w:b/>
          <w:color w:val="000000"/>
        </w:rPr>
        <w:t>(</w:t>
      </w:r>
      <w:r>
        <w:rPr>
          <w:rFonts w:ascii="Times New Roman" w:hAnsi="Times New Roman"/>
          <w:b/>
          <w:color w:val="000000"/>
        </w:rPr>
        <w:t>агент</w:t>
      </w:r>
      <w:r w:rsidR="00041757" w:rsidRPr="003A13A3">
        <w:rPr>
          <w:rFonts w:ascii="Times New Roman" w:hAnsi="Times New Roman"/>
          <w:b/>
          <w:color w:val="000000"/>
        </w:rPr>
        <w:t>)</w:t>
      </w:r>
      <w:r w:rsidR="00041757" w:rsidRPr="003A13A3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Појединац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организација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олакшава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договара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организује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транспорт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добара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добављача</w:t>
      </w:r>
      <w:r w:rsidR="00041757" w:rsidRPr="003A13A3"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произвођача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трговца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до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купца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крајњег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другог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агента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замену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накнаду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74"/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Посредници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обухватају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бродске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агенте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брокере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шпедитере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75"/>
      </w:r>
    </w:p>
    <w:p w:rsidR="005E070D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Претовар</w:t>
      </w:r>
      <w:r w:rsidR="00041757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Претовар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обухвата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кретање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држава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извоза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кроз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држава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претовара</w:t>
      </w:r>
      <w:r w:rsidR="00041757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копном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морем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ваздухом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земље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</w:t>
      </w:r>
      <w:r w:rsidR="00041757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држава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увоза</w:t>
      </w:r>
      <w:r w:rsidR="00041757" w:rsidRPr="003A13A3"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color w:val="000000"/>
        </w:rPr>
        <w:t>где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постоји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промена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врсти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превоза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односно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превозном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средству</w:t>
      </w:r>
      <w:r w:rsidR="00041757" w:rsidRPr="003A13A3">
        <w:rPr>
          <w:rFonts w:ascii="Times New Roman" w:hAnsi="Times New Roman"/>
          <w:color w:val="000000"/>
        </w:rPr>
        <w:t>.</w:t>
      </w:r>
      <w:r w:rsidR="00041757" w:rsidRPr="003A13A3">
        <w:rPr>
          <w:rStyle w:val="EndnoteReference"/>
          <w:rFonts w:ascii="Times New Roman" w:hAnsi="Times New Roman"/>
          <w:color w:val="000000"/>
        </w:rPr>
        <w:endnoteReference w:id="76"/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Претоварена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преноси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царинским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надзором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превозног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средства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увоза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превозно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средство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извоза</w:t>
      </w:r>
      <w:r w:rsidR="00041757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Као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транзиту</w:t>
      </w:r>
      <w:r w:rsidR="00041757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ова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нема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примаоца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држави</w:t>
      </w:r>
      <w:r w:rsidR="00041757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транзита</w:t>
      </w:r>
      <w:r w:rsidR="00041757" w:rsidRPr="003A13A3">
        <w:rPr>
          <w:rFonts w:ascii="Times New Roman" w:hAnsi="Times New Roman"/>
          <w:color w:val="000000"/>
        </w:rPr>
        <w:t xml:space="preserve">. </w:t>
      </w:r>
    </w:p>
    <w:p w:rsidR="005E070D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Крајњи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прималац</w:t>
      </w:r>
      <w:r w:rsidR="005E070D" w:rsidRPr="003A13A3">
        <w:rPr>
          <w:rFonts w:ascii="Times New Roman" w:hAnsi="Times New Roman"/>
          <w:b/>
          <w:color w:val="000000"/>
        </w:rPr>
        <w:t xml:space="preserve">: </w:t>
      </w:r>
      <w:r w:rsidR="005E070D" w:rsidRPr="003A13A3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Главна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страна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трансакцији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налази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иностранству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извезену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поново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извезену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робу</w:t>
      </w:r>
      <w:r w:rsidR="005E070D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Крајњи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прималац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није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шпедитер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други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посредник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али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бити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корисник</w:t>
      </w:r>
      <w:r w:rsidR="005E070D" w:rsidRPr="003A13A3">
        <w:rPr>
          <w:rFonts w:ascii="Times New Roman" w:hAnsi="Times New Roman"/>
          <w:color w:val="000000"/>
        </w:rPr>
        <w:t>.“</w:t>
      </w:r>
    </w:p>
    <w:p w:rsidR="005E070D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Неконвенционално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оружје</w:t>
      </w:r>
      <w:r w:rsidR="005E070D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Обично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њим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подразумева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нуклеарне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биолошке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хемијске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радиолошке</w:t>
      </w:r>
      <w:r w:rsidR="005E070D" w:rsidRPr="003A13A3">
        <w:rPr>
          <w:rFonts w:ascii="Times New Roman" w:hAnsi="Times New Roman"/>
          <w:color w:val="000000"/>
        </w:rPr>
        <w:t>(</w:t>
      </w:r>
      <w:r w:rsidR="00607269">
        <w:rPr>
          <w:rFonts w:ascii="Times New Roman" w:hAnsi="Times New Roman"/>
          <w:color w:val="000000"/>
        </w:rPr>
        <w:t>HBRN</w:t>
      </w:r>
      <w:r w:rsidR="005E070D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природе</w:t>
      </w:r>
      <w:r w:rsidR="005E070D" w:rsidRPr="003A13A3">
        <w:rPr>
          <w:rFonts w:ascii="Times New Roman" w:hAnsi="Times New Roman"/>
          <w:color w:val="000000"/>
        </w:rPr>
        <w:t>.</w:t>
      </w:r>
    </w:p>
    <w:p w:rsidR="005E070D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Комитети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Уједињених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нација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санкције</w:t>
      </w:r>
      <w:r w:rsidR="005E070D" w:rsidRPr="003A13A3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Помоћно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тело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Савета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безбедности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</w:t>
      </w:r>
      <w:r w:rsidR="005E070D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СБ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</w:t>
      </w:r>
      <w:r w:rsidR="005E070D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које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фокусира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примену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одржавање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санкција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Уједињених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нација</w:t>
      </w:r>
      <w:r w:rsidR="005E070D" w:rsidRPr="003A13A3">
        <w:rPr>
          <w:rFonts w:ascii="Times New Roman" w:hAnsi="Times New Roman"/>
          <w:color w:val="000000"/>
        </w:rPr>
        <w:t>.</w:t>
      </w:r>
      <w:r w:rsidR="005E070D" w:rsidRPr="003A13A3">
        <w:rPr>
          <w:rStyle w:val="EndnoteReference"/>
          <w:rFonts w:ascii="Times New Roman" w:hAnsi="Times New Roman"/>
          <w:color w:val="000000"/>
        </w:rPr>
        <w:endnoteReference w:id="77"/>
      </w:r>
      <w:r w:rsidR="005E070D" w:rsidRPr="003A13A3">
        <w:rPr>
          <w:rFonts w:ascii="Times New Roman" w:hAnsi="Times New Roman"/>
          <w:color w:val="000000"/>
        </w:rPr>
        <w:t xml:space="preserve"> </w:t>
      </w:r>
    </w:p>
    <w:p w:rsidR="005E070D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Резолуција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Савета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безбедности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УН</w:t>
      </w:r>
      <w:r w:rsidR="005E070D" w:rsidRPr="003A13A3">
        <w:rPr>
          <w:rFonts w:ascii="Times New Roman" w:hAnsi="Times New Roman"/>
          <w:b/>
          <w:color w:val="000000"/>
        </w:rPr>
        <w:t xml:space="preserve"> 1540(</w:t>
      </w:r>
      <w:r>
        <w:rPr>
          <w:rFonts w:ascii="Times New Roman" w:hAnsi="Times New Roman"/>
          <w:b/>
          <w:color w:val="000000"/>
        </w:rPr>
        <w:t>РСБУН</w:t>
      </w:r>
      <w:r w:rsidR="005E070D" w:rsidRPr="003A13A3">
        <w:rPr>
          <w:rFonts w:ascii="Times New Roman" w:hAnsi="Times New Roman"/>
          <w:b/>
          <w:color w:val="000000"/>
        </w:rPr>
        <w:t xml:space="preserve"> 1540): </w:t>
      </w:r>
      <w:r>
        <w:rPr>
          <w:rFonts w:ascii="Times New Roman" w:hAnsi="Times New Roman"/>
          <w:color w:val="000000"/>
        </w:rPr>
        <w:t>Резолуција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Савета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безбедности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</w:t>
      </w:r>
      <w:r w:rsidR="005E070D" w:rsidRPr="003A13A3">
        <w:rPr>
          <w:rFonts w:ascii="Times New Roman" w:hAnsi="Times New Roman"/>
          <w:color w:val="000000"/>
        </w:rPr>
        <w:t xml:space="preserve"> 1540 </w:t>
      </w:r>
      <w:r>
        <w:rPr>
          <w:rFonts w:ascii="Times New Roman" w:hAnsi="Times New Roman"/>
          <w:color w:val="000000"/>
        </w:rPr>
        <w:t>сматра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ширење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нуклеарног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хемијског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биолошког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наоружања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као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система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њихову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доставу</w:t>
      </w:r>
      <w:r w:rsidR="005E070D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представља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претњу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међународну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безбедност</w:t>
      </w:r>
      <w:r w:rsidR="005E070D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Она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такође</w:t>
      </w:r>
      <w:r w:rsidR="008D6299" w:rsidRPr="003A13A3">
        <w:rPr>
          <w:rFonts w:ascii="Times New Roman" w:hAnsi="Times New Roman"/>
          <w:color w:val="000000"/>
        </w:rPr>
        <w:t xml:space="preserve"> 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>„</w:t>
      </w:r>
      <w:r>
        <w:rPr>
          <w:rFonts w:ascii="Times New Roman" w:hAnsi="Times New Roman"/>
          <w:color w:val="000000"/>
          <w:shd w:val="clear" w:color="auto" w:fill="FEFEFE"/>
        </w:rPr>
        <w:t>намеће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обавезу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која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произилази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из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Поглавља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 w:rsidR="00B21BF2">
        <w:rPr>
          <w:rFonts w:ascii="Times New Roman" w:hAnsi="Times New Roman"/>
          <w:color w:val="000000"/>
          <w:shd w:val="clear" w:color="auto" w:fill="FEFEFE"/>
        </w:rPr>
        <w:t>VII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за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све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државе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чланице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да</w:t>
      </w:r>
      <w:r w:rsidR="005E070D" w:rsidRPr="003A13A3">
        <w:rPr>
          <w:rStyle w:val="apple-converted-space"/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донесу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прописе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у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циљу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спречавања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ширења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нуклеарног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, </w:t>
      </w:r>
      <w:r>
        <w:rPr>
          <w:rFonts w:ascii="Times New Roman" w:hAnsi="Times New Roman"/>
          <w:color w:val="000000"/>
          <w:shd w:val="clear" w:color="auto" w:fill="FEFEFE"/>
        </w:rPr>
        <w:t>хемијског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и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биолошког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наоружања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и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система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њихове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доставе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, </w:t>
      </w:r>
      <w:r>
        <w:rPr>
          <w:rFonts w:ascii="Times New Roman" w:hAnsi="Times New Roman"/>
          <w:color w:val="000000"/>
          <w:shd w:val="clear" w:color="auto" w:fill="FEFEFE"/>
        </w:rPr>
        <w:t>као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и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да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успоставе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одговарајуће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националне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контроле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над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тим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материјалима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, </w:t>
      </w:r>
      <w:r>
        <w:rPr>
          <w:rFonts w:ascii="Times New Roman" w:hAnsi="Times New Roman"/>
          <w:color w:val="000000"/>
          <w:shd w:val="clear" w:color="auto" w:fill="FEFEFE"/>
        </w:rPr>
        <w:t>како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би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се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спречила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незаконита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трговина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тим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материјалима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>.“</w:t>
      </w:r>
      <w:r w:rsidR="005E070D" w:rsidRPr="003A13A3">
        <w:rPr>
          <w:rStyle w:val="EndnoteReference"/>
          <w:rFonts w:ascii="Times New Roman" w:hAnsi="Times New Roman"/>
          <w:color w:val="000000"/>
          <w:shd w:val="clear" w:color="auto" w:fill="FEFEFE"/>
        </w:rPr>
        <w:endnoteReference w:id="78"/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За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разлику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од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претходних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иницијатива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, </w:t>
      </w:r>
      <w:r>
        <w:rPr>
          <w:rFonts w:ascii="Times New Roman" w:hAnsi="Times New Roman"/>
          <w:color w:val="000000"/>
          <w:shd w:val="clear" w:color="auto" w:fill="FEFEFE"/>
        </w:rPr>
        <w:t>УН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1540 </w:t>
      </w:r>
      <w:r>
        <w:rPr>
          <w:rFonts w:ascii="Times New Roman" w:hAnsi="Times New Roman"/>
          <w:color w:val="000000"/>
          <w:shd w:val="clear" w:color="auto" w:fill="FEFEFE"/>
        </w:rPr>
        <w:t>се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фокусира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на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спречавање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да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до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стратешке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робе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дође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недржавни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актер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, </w:t>
      </w:r>
      <w:r>
        <w:rPr>
          <w:rFonts w:ascii="Times New Roman" w:hAnsi="Times New Roman"/>
          <w:color w:val="000000"/>
          <w:shd w:val="clear" w:color="auto" w:fill="FEFEFE"/>
        </w:rPr>
        <w:t>као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и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на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подизање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свести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индустрије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о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циљевима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контроле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спољне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трговине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стратешком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робом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и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неширења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hd w:val="clear" w:color="auto" w:fill="FEFEFE"/>
        </w:rPr>
        <w:t>наоружања</w:t>
      </w:r>
      <w:r w:rsidR="005E070D" w:rsidRPr="003A13A3">
        <w:rPr>
          <w:rFonts w:ascii="Times New Roman" w:hAnsi="Times New Roman"/>
          <w:color w:val="000000"/>
          <w:shd w:val="clear" w:color="auto" w:fill="FEFEFE"/>
        </w:rPr>
        <w:t>.</w:t>
      </w:r>
    </w:p>
    <w:p w:rsidR="00D54387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Беспилотна</w:t>
      </w:r>
      <w:r w:rsidR="00D54387" w:rsidRPr="003A13A3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hd w:val="clear" w:color="auto" w:fill="FFFFFF"/>
        </w:rPr>
        <w:t>летелица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>(„</w:t>
      </w:r>
      <w:r w:rsidR="00B21BF2" w:rsidRPr="00B21BF2">
        <w:rPr>
          <w:rFonts w:ascii="Times New Roman" w:hAnsi="Times New Roman"/>
          <w:b/>
          <w:color w:val="000000"/>
          <w:shd w:val="clear" w:color="auto" w:fill="FFFFFF"/>
        </w:rPr>
        <w:t>UAV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>“)</w:t>
      </w:r>
      <w:r w:rsidR="00D54387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>: “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Било</w:t>
      </w:r>
      <w:r w:rsidR="008D6299" w:rsidRPr="003A13A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који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ваздухоплов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који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може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да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полети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одржи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се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у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контролисаном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лету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навигацији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без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икакве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људске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посаде</w:t>
      </w:r>
      <w:r w:rsidR="00D54387" w:rsidRPr="003A13A3">
        <w:rPr>
          <w:rFonts w:ascii="Times New Roman" w:hAnsi="Times New Roman"/>
          <w:color w:val="000000"/>
          <w:shd w:val="clear" w:color="auto" w:fill="FFFFFF"/>
        </w:rPr>
        <w:t>.“</w:t>
      </w:r>
      <w:r w:rsidR="00D54387" w:rsidRPr="003A13A3">
        <w:rPr>
          <w:rStyle w:val="EndnoteReference"/>
          <w:rFonts w:ascii="Times New Roman" w:hAnsi="Times New Roman"/>
          <w:color w:val="000000"/>
          <w:shd w:val="clear" w:color="auto" w:fill="FFFFFF"/>
        </w:rPr>
        <w:endnoteReference w:id="79"/>
      </w:r>
    </w:p>
    <w:p w:rsidR="005B7DFA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Употреба</w:t>
      </w:r>
      <w:r w:rsidRPr="003A13A3">
        <w:rPr>
          <w:rFonts w:ascii="Times New Roman" w:hAnsi="Times New Roman"/>
          <w:b/>
          <w:color w:val="000000"/>
          <w:shd w:val="clear" w:color="auto" w:fill="FFFFFF"/>
        </w:rPr>
        <w:t xml:space="preserve">: </w:t>
      </w:r>
      <w:r w:rsidRPr="003A13A3">
        <w:rPr>
          <w:rFonts w:ascii="Times New Roman" w:hAnsi="Times New Roman"/>
          <w:color w:val="000000"/>
          <w:shd w:val="clear" w:color="auto" w:fill="FFFFFF"/>
        </w:rPr>
        <w:t>„</w:t>
      </w:r>
      <w:r>
        <w:rPr>
          <w:rFonts w:ascii="Times New Roman" w:hAnsi="Times New Roman"/>
          <w:color w:val="000000"/>
          <w:shd w:val="clear" w:color="auto" w:fill="FFFFFF"/>
        </w:rPr>
        <w:t>Рад</w:t>
      </w:r>
      <w:r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монтажа</w:t>
      </w:r>
      <w:r w:rsidRPr="003A13A3">
        <w:rPr>
          <w:rFonts w:ascii="Times New Roman" w:hAnsi="Times New Roman"/>
          <w:color w:val="000000"/>
          <w:shd w:val="clear" w:color="auto" w:fill="FFFFFF"/>
        </w:rPr>
        <w:t>(</w:t>
      </w:r>
      <w:r>
        <w:rPr>
          <w:rFonts w:ascii="Times New Roman" w:hAnsi="Times New Roman"/>
          <w:color w:val="000000"/>
          <w:shd w:val="clear" w:color="auto" w:fill="FFFFFF"/>
        </w:rPr>
        <w:t>укључујући</w:t>
      </w:r>
      <w:r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монтажу</w:t>
      </w:r>
      <w:r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на</w:t>
      </w:r>
      <w:r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лицу</w:t>
      </w:r>
      <w:r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места</w:t>
      </w:r>
      <w:r w:rsidRPr="003A13A3">
        <w:rPr>
          <w:rFonts w:ascii="Times New Roman" w:hAnsi="Times New Roman"/>
          <w:color w:val="000000"/>
          <w:shd w:val="clear" w:color="auto" w:fill="FFFFFF"/>
        </w:rPr>
        <w:t xml:space="preserve">), </w:t>
      </w:r>
      <w:r>
        <w:rPr>
          <w:rFonts w:ascii="Times New Roman" w:hAnsi="Times New Roman"/>
          <w:color w:val="000000"/>
          <w:shd w:val="clear" w:color="auto" w:fill="FFFFFF"/>
        </w:rPr>
        <w:t>одржавање</w:t>
      </w:r>
      <w:r w:rsidRPr="003A13A3">
        <w:rPr>
          <w:rFonts w:ascii="Times New Roman" w:hAnsi="Times New Roman"/>
          <w:color w:val="000000"/>
          <w:shd w:val="clear" w:color="auto" w:fill="FFFFFF"/>
        </w:rPr>
        <w:t>(</w:t>
      </w:r>
      <w:r>
        <w:rPr>
          <w:rFonts w:ascii="Times New Roman" w:hAnsi="Times New Roman"/>
          <w:color w:val="000000"/>
          <w:shd w:val="clear" w:color="auto" w:fill="FFFFFF"/>
        </w:rPr>
        <w:t>провера</w:t>
      </w:r>
      <w:r w:rsidRPr="003A13A3">
        <w:rPr>
          <w:rFonts w:ascii="Times New Roman" w:hAnsi="Times New Roman"/>
          <w:color w:val="000000"/>
          <w:shd w:val="clear" w:color="auto" w:fill="FFFFFF"/>
        </w:rPr>
        <w:t xml:space="preserve">), </w:t>
      </w:r>
      <w:r>
        <w:rPr>
          <w:rFonts w:ascii="Times New Roman" w:hAnsi="Times New Roman"/>
          <w:color w:val="000000"/>
          <w:shd w:val="clear" w:color="auto" w:fill="FFFFFF"/>
        </w:rPr>
        <w:t>поправка</w:t>
      </w:r>
      <w:r w:rsidRPr="003A13A3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ремонт</w:t>
      </w:r>
      <w:r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 w:rsidRPr="003A13A3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реновирање</w:t>
      </w:r>
      <w:r w:rsidRPr="003A13A3">
        <w:rPr>
          <w:rFonts w:ascii="Times New Roman" w:hAnsi="Times New Roman"/>
          <w:color w:val="000000"/>
          <w:shd w:val="clear" w:color="auto" w:fill="FFFFFF"/>
        </w:rPr>
        <w:t>.“</w:t>
      </w:r>
      <w:r w:rsidRPr="003A13A3">
        <w:rPr>
          <w:rStyle w:val="EndnoteReference"/>
          <w:rFonts w:ascii="Times New Roman" w:hAnsi="Times New Roman"/>
          <w:color w:val="000000"/>
          <w:shd w:val="clear" w:color="auto" w:fill="FFFFFF"/>
        </w:rPr>
        <w:endnoteReference w:id="80"/>
      </w:r>
    </w:p>
    <w:p w:rsidR="005E070D" w:rsidRPr="003A13A3" w:rsidRDefault="005B7DFA" w:rsidP="00C519FF">
      <w:pPr>
        <w:tabs>
          <w:tab w:val="left" w:pos="360"/>
        </w:tabs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Оружје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масовно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уништење</w:t>
      </w:r>
      <w:r w:rsidR="005E070D" w:rsidRPr="003A13A3">
        <w:rPr>
          <w:rFonts w:ascii="Times New Roman" w:hAnsi="Times New Roman"/>
          <w:b/>
          <w:color w:val="000000"/>
        </w:rPr>
        <w:t>(</w:t>
      </w:r>
      <w:r w:rsidR="00B21BF2">
        <w:rPr>
          <w:rFonts w:ascii="Times New Roman" w:hAnsi="Times New Roman"/>
          <w:b/>
          <w:color w:val="000000"/>
        </w:rPr>
        <w:t>WMD</w:t>
      </w:r>
      <w:r w:rsidR="005E070D" w:rsidRPr="003A13A3">
        <w:rPr>
          <w:rFonts w:ascii="Times New Roman" w:hAnsi="Times New Roman"/>
          <w:b/>
          <w:color w:val="000000"/>
        </w:rPr>
        <w:t>)</w:t>
      </w:r>
      <w:r w:rsidR="005E070D" w:rsidRPr="003A13A3">
        <w:rPr>
          <w:rFonts w:ascii="Times New Roman" w:hAnsi="Times New Roman"/>
          <w:color w:val="000000"/>
        </w:rPr>
        <w:t>: „</w:t>
      </w:r>
      <w:r>
        <w:rPr>
          <w:rFonts w:ascii="Times New Roman" w:hAnsi="Times New Roman"/>
          <w:color w:val="000000"/>
        </w:rPr>
        <w:t>Биолошко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</w:t>
      </w:r>
      <w:r w:rsidR="005E070D" w:rsidRPr="003A13A3">
        <w:rPr>
          <w:rFonts w:ascii="Times New Roman" w:hAnsi="Times New Roman"/>
          <w:color w:val="000000"/>
        </w:rPr>
        <w:t>“, „</w:t>
      </w:r>
      <w:r>
        <w:rPr>
          <w:rFonts w:ascii="Times New Roman" w:hAnsi="Times New Roman"/>
          <w:color w:val="000000"/>
        </w:rPr>
        <w:t>хемијско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</w:t>
      </w:r>
      <w:r w:rsidR="005E070D" w:rsidRPr="003A13A3">
        <w:rPr>
          <w:rFonts w:ascii="Times New Roman" w:hAnsi="Times New Roman"/>
          <w:color w:val="000000"/>
        </w:rPr>
        <w:t>“, „</w:t>
      </w:r>
      <w:r>
        <w:rPr>
          <w:rFonts w:ascii="Times New Roman" w:hAnsi="Times New Roman"/>
          <w:color w:val="000000"/>
        </w:rPr>
        <w:t>нуклеарно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</w:t>
      </w:r>
      <w:r w:rsidR="005E070D" w:rsidRPr="003A13A3">
        <w:rPr>
          <w:rFonts w:ascii="Times New Roman" w:hAnsi="Times New Roman"/>
          <w:color w:val="000000"/>
        </w:rPr>
        <w:t xml:space="preserve">“ </w:t>
      </w:r>
      <w:r>
        <w:rPr>
          <w:rFonts w:ascii="Times New Roman" w:hAnsi="Times New Roman"/>
          <w:color w:val="000000"/>
        </w:rPr>
        <w:t>и</w:t>
      </w:r>
      <w:r w:rsidR="005E070D" w:rsidRPr="003A13A3">
        <w:rPr>
          <w:rFonts w:ascii="Times New Roman" w:hAnsi="Times New Roman"/>
          <w:color w:val="000000"/>
        </w:rPr>
        <w:t xml:space="preserve"> „</w:t>
      </w:r>
      <w:r>
        <w:rPr>
          <w:rFonts w:ascii="Times New Roman" w:hAnsi="Times New Roman"/>
          <w:color w:val="000000"/>
        </w:rPr>
        <w:t>системи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њихову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доставу</w:t>
      </w:r>
      <w:r w:rsidR="005E070D" w:rsidRPr="003A13A3">
        <w:rPr>
          <w:rFonts w:ascii="Times New Roman" w:hAnsi="Times New Roman"/>
          <w:color w:val="000000"/>
        </w:rPr>
        <w:t xml:space="preserve">“. </w:t>
      </w:r>
    </w:p>
    <w:p w:rsidR="009C6846" w:rsidRPr="003A13A3" w:rsidRDefault="005B7DFA" w:rsidP="00C519FF">
      <w:pPr>
        <w:spacing w:before="120" w:after="12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Свеобухватна</w:t>
      </w:r>
      <w:r w:rsidR="009C6846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контрола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крајње</w:t>
      </w:r>
      <w:r w:rsidR="009C6846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намене</w:t>
      </w:r>
      <w:r w:rsidR="009C6846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</w:t>
      </w:r>
      <w:r w:rsidR="009C6846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оружје</w:t>
      </w:r>
      <w:r w:rsidR="009C6846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</w:t>
      </w:r>
      <w:r w:rsidR="009C6846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масовно</w:t>
      </w:r>
      <w:r w:rsidR="009C6846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уништење</w:t>
      </w:r>
      <w:r w:rsidR="009C6846" w:rsidRPr="003A13A3">
        <w:rPr>
          <w:rFonts w:ascii="Times New Roman" w:hAnsi="Times New Roman"/>
          <w:b/>
          <w:color w:val="000000"/>
        </w:rPr>
        <w:t>: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Одредба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националног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законодавства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којом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захтева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правно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физичко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лице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поднесе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захтев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издавање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дозволе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обављање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одређене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трговинске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делатности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укључује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робу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налазе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контролним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листама</w:t>
      </w:r>
      <w:r w:rsidR="009C6846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то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лице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зна</w:t>
      </w:r>
      <w:r w:rsidR="009C6846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у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вези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којом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било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информисано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од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стране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државних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разлога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верује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роба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технологија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може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бити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имати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крајњу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намену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вези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оружјем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масовно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уништење</w:t>
      </w:r>
      <w:r w:rsidR="009C6846" w:rsidRPr="003A13A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нуклеарно</w:t>
      </w:r>
      <w:r w:rsidR="009C6846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хемијско</w:t>
      </w:r>
      <w:r w:rsidR="009C6846" w:rsidRPr="003A13A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биолошко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9C6846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ракетно</w:t>
      </w:r>
      <w:r w:rsidR="009C6846" w:rsidRPr="003A13A3">
        <w:rPr>
          <w:rFonts w:ascii="Times New Roman" w:hAnsi="Times New Roman"/>
          <w:color w:val="000000"/>
        </w:rPr>
        <w:t xml:space="preserve">). </w:t>
      </w:r>
    </w:p>
    <w:p w:rsidR="00D15B39" w:rsidRDefault="005B7DFA" w:rsidP="00D15B39">
      <w:pPr>
        <w:tabs>
          <w:tab w:val="left" w:pos="360"/>
        </w:tabs>
        <w:spacing w:before="120" w:after="120" w:line="240" w:lineRule="auto"/>
        <w:ind w:left="-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Светска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царинска</w:t>
      </w:r>
      <w:r w:rsidR="005E070D" w:rsidRPr="003A13A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организација</w:t>
      </w:r>
      <w:r w:rsidR="005E070D" w:rsidRPr="003A13A3">
        <w:rPr>
          <w:rFonts w:ascii="Times New Roman" w:hAnsi="Times New Roman"/>
          <w:b/>
          <w:color w:val="000000"/>
        </w:rPr>
        <w:t>(</w:t>
      </w:r>
      <w:r w:rsidR="00D15B39">
        <w:rPr>
          <w:rFonts w:ascii="Times New Roman" w:hAnsi="Times New Roman"/>
          <w:b/>
          <w:color w:val="000000"/>
        </w:rPr>
        <w:t>SCO</w:t>
      </w:r>
      <w:r w:rsidR="005E070D" w:rsidRPr="003A13A3">
        <w:rPr>
          <w:rFonts w:ascii="Times New Roman" w:hAnsi="Times New Roman"/>
          <w:b/>
          <w:color w:val="000000"/>
        </w:rPr>
        <w:t xml:space="preserve">, </w:t>
      </w:r>
      <w:r w:rsidR="00D15B39">
        <w:rPr>
          <w:rFonts w:ascii="Times New Roman" w:hAnsi="Times New Roman"/>
          <w:b/>
          <w:color w:val="000000"/>
        </w:rPr>
        <w:t>WCO</w:t>
      </w:r>
      <w:r w:rsidR="005E070D" w:rsidRPr="003A13A3">
        <w:rPr>
          <w:rFonts w:ascii="Times New Roman" w:hAnsi="Times New Roman"/>
          <w:b/>
          <w:color w:val="000000"/>
        </w:rPr>
        <w:t xml:space="preserve">): </w:t>
      </w:r>
      <w:r>
        <w:rPr>
          <w:rFonts w:ascii="Times New Roman" w:hAnsi="Times New Roman"/>
          <w:color w:val="000000"/>
        </w:rPr>
        <w:t>Светска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царинска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организација</w:t>
      </w:r>
      <w:r w:rsidR="005E070D" w:rsidRPr="003A13A3">
        <w:rPr>
          <w:rFonts w:ascii="Times New Roman" w:hAnsi="Times New Roman"/>
          <w:color w:val="000000"/>
        </w:rPr>
        <w:t>(</w:t>
      </w:r>
      <w:r w:rsidR="00D15B39">
        <w:rPr>
          <w:rFonts w:ascii="Times New Roman" w:hAnsi="Times New Roman"/>
          <w:color w:val="000000"/>
        </w:rPr>
        <w:t>SCO</w:t>
      </w:r>
      <w:r w:rsidR="005E070D" w:rsidRPr="003A13A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је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независно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међудржавно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тело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чија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је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мисија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унапреди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делотворност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ефикасност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царинских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управа</w:t>
      </w:r>
      <w:r w:rsidR="005E070D" w:rsidRPr="003A13A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Данас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 w:rsidR="00D15B39">
        <w:rPr>
          <w:rFonts w:ascii="Times New Roman" w:hAnsi="Times New Roman"/>
          <w:color w:val="000000"/>
        </w:rPr>
        <w:t>SCO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представља</w:t>
      </w:r>
      <w:r w:rsidR="005E070D" w:rsidRPr="003A13A3">
        <w:rPr>
          <w:rStyle w:val="apple-converted-space"/>
          <w:rFonts w:ascii="Times New Roman" w:hAnsi="Times New Roman"/>
          <w:color w:val="000000"/>
        </w:rPr>
        <w:t xml:space="preserve"> </w:t>
      </w:r>
      <w:hyperlink r:id="rId13" w:tgtFrame="_blank" w:history="1">
        <w:r w:rsidR="005E070D" w:rsidRPr="003A13A3">
          <w:rPr>
            <w:rStyle w:val="Hyperlink"/>
            <w:rFonts w:ascii="Times New Roman" w:hAnsi="Times New Roman"/>
            <w:bCs/>
            <w:color w:val="000000"/>
            <w:u w:val="none"/>
          </w:rPr>
          <w:t xml:space="preserve">180 </w:t>
        </w:r>
        <w:r>
          <w:rPr>
            <w:rStyle w:val="Hyperlink"/>
            <w:rFonts w:ascii="Times New Roman" w:hAnsi="Times New Roman"/>
            <w:bCs/>
            <w:color w:val="000000"/>
            <w:u w:val="none"/>
          </w:rPr>
          <w:t>царинских</w:t>
        </w:r>
        <w:r w:rsidR="005E070D" w:rsidRPr="003A13A3">
          <w:rPr>
            <w:rStyle w:val="Hyperlink"/>
            <w:rFonts w:ascii="Times New Roman" w:hAnsi="Times New Roman"/>
            <w:bCs/>
            <w:color w:val="000000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/>
            <w:u w:val="none"/>
          </w:rPr>
          <w:t>управа</w:t>
        </w:r>
      </w:hyperlink>
      <w:r w:rsidR="005E070D" w:rsidRPr="003A13A3">
        <w:rPr>
          <w:rStyle w:val="apple-converted-space"/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широм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света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заједно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прегледају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око</w:t>
      </w:r>
      <w:r w:rsidR="005E070D" w:rsidRPr="003A13A3">
        <w:rPr>
          <w:rFonts w:ascii="Times New Roman" w:hAnsi="Times New Roman"/>
          <w:color w:val="000000"/>
        </w:rPr>
        <w:t xml:space="preserve"> 98% </w:t>
      </w:r>
      <w:r>
        <w:rPr>
          <w:rFonts w:ascii="Times New Roman" w:hAnsi="Times New Roman"/>
          <w:color w:val="000000"/>
        </w:rPr>
        <w:t>целокупне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светске</w:t>
      </w:r>
      <w:r w:rsidR="005E070D" w:rsidRPr="003A13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трговине</w:t>
      </w:r>
      <w:r w:rsidR="005E070D" w:rsidRPr="003A13A3">
        <w:rPr>
          <w:rFonts w:ascii="Times New Roman" w:hAnsi="Times New Roman"/>
          <w:color w:val="000000"/>
        </w:rPr>
        <w:t>.</w:t>
      </w:r>
      <w:r w:rsidR="005E070D" w:rsidRPr="003A13A3">
        <w:rPr>
          <w:rStyle w:val="EndnoteReference"/>
          <w:rFonts w:ascii="Times New Roman" w:hAnsi="Times New Roman"/>
          <w:color w:val="000000"/>
        </w:rPr>
        <w:endnoteReference w:id="81"/>
      </w:r>
    </w:p>
    <w:p w:rsidR="005E070D" w:rsidRPr="003A13A3" w:rsidRDefault="005E070D" w:rsidP="00D15B39">
      <w:pPr>
        <w:tabs>
          <w:tab w:val="left" w:pos="360"/>
        </w:tabs>
        <w:spacing w:before="120" w:after="120" w:line="240" w:lineRule="auto"/>
        <w:ind w:left="-360"/>
        <w:rPr>
          <w:rFonts w:ascii="Times New Roman" w:hAnsi="Times New Roman"/>
          <w:b/>
          <w:color w:val="000000"/>
        </w:rPr>
      </w:pPr>
      <w:r w:rsidRPr="003A13A3">
        <w:rPr>
          <w:rFonts w:ascii="Times New Roman" w:hAnsi="Times New Roman"/>
          <w:color w:val="000000"/>
        </w:rPr>
        <w:br w:type="page"/>
      </w:r>
    </w:p>
    <w:p w:rsidR="001A5F84" w:rsidRPr="003A13A3" w:rsidRDefault="001A5F84" w:rsidP="00C519FF">
      <w:pPr>
        <w:ind w:left="-360"/>
        <w:jc w:val="both"/>
        <w:rPr>
          <w:rFonts w:ascii="Times New Roman" w:hAnsi="Times New Roman"/>
          <w:color w:val="000000"/>
        </w:rPr>
      </w:pPr>
    </w:p>
    <w:sectPr w:rsidR="001A5F84" w:rsidRPr="003A13A3">
      <w:footerReference w:type="default" r:id="rId14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1A5" w:rsidRDefault="007441A5" w:rsidP="005B7DFA">
      <w:pPr>
        <w:spacing w:after="0" w:line="240" w:lineRule="auto"/>
      </w:pPr>
      <w:r>
        <w:separator/>
      </w:r>
    </w:p>
  </w:endnote>
  <w:endnote w:type="continuationSeparator" w:id="0">
    <w:p w:rsidR="007441A5" w:rsidRDefault="007441A5" w:rsidP="005B7DFA">
      <w:pPr>
        <w:spacing w:after="0" w:line="240" w:lineRule="auto"/>
      </w:pPr>
      <w:r>
        <w:continuationSeparator/>
      </w:r>
    </w:p>
  </w:endnote>
  <w:endnote w:id="1">
    <w:p w:rsidR="00100258" w:rsidRPr="00962744" w:rsidRDefault="00100258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http://deemedexports.noaa.gov/access_control_plans/</w:t>
      </w:r>
    </w:p>
  </w:endnote>
  <w:endnote w:id="2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Jerry M. Rosenberg, The Essential Dictionary of International Trade, 2004, Barnes &amp; Noble Books, </w:t>
      </w:r>
    </w:p>
  </w:endnote>
  <w:endnote w:id="3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Jerry M. Rosenberg, The Essential Dictionary of International Trade, 2004, Barnes &amp; Noble Books, </w:t>
      </w:r>
    </w:p>
  </w:endnote>
  <w:endnote w:id="4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https://www.cbp.gov/trade/programs-administration/audits</w:t>
      </w:r>
    </w:p>
  </w:endnote>
  <w:endnote w:id="5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https://www.gov.uk/guidance/compliance-checks-and-enforcement-of-export-controls-on-strategic-goods-and-technology</w:t>
      </w:r>
    </w:p>
  </w:endnote>
  <w:endnote w:id="6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http://www.wcoomd.org/en/topics/facilitation/instrument-and-tools/tools/~/media/93162547322F462A97F8767D0987A901.ashxPg. 4</w:t>
      </w:r>
    </w:p>
  </w:endnote>
  <w:endnote w:id="7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http://www.wcoomd.org/en/topics/facilitation/instrument-and-tools/tools/~/media/93162547322F462A97F8767D0987A901.ashx and http://aeo.customs.gov.tw/Util/DownLoadFile.aspx?O_FILE_NAME=WCO_AEO_Guidelines_%E8%8B%B1%E6%96%87%E7%89%88.pdf</w:t>
      </w:r>
    </w:p>
  </w:endnote>
  <w:endnote w:id="8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http://www.europarl.europa.eu/RegData/etudes/STUD/2015/535000/EXPO_STU(2015)535000_EN.pdf  pg 26, https://research.unsw.edu.au/research-export-controls; and http://wa.ctp-inc.com/index/index/view/content/page/Definitions.html </w:t>
      </w:r>
    </w:p>
  </w:endnote>
  <w:endnote w:id="9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Rosenberg</w:t>
      </w:r>
    </w:p>
  </w:endnote>
  <w:endnote w:id="10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Rosenberg</w:t>
      </w:r>
    </w:p>
  </w:endnote>
  <w:endnote w:id="11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http://www.importexporthelp.com/a/business-to-business-definitions.htm#C</w:t>
      </w:r>
    </w:p>
  </w:endnote>
  <w:endnote w:id="12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WCO STC Enforcement Implementation Guide - http://www.wcoomd.org/en/topics/enforcement-and-compliance/instruments-and-tools/guidelines/~/media/WCO/Public/Global/PDF/Topics/Enforcement%20and%20Compliance/Tools%20and%20Instruments/STCE%20Implementation%20Guide/STCE%20Implementation%20Guide%20-%20E%20-%20small.ashx</w:t>
      </w:r>
    </w:p>
  </w:endnote>
  <w:endnote w:id="13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http://www.ceep.ca/education/CBRNintrosheet.pdf</w:t>
      </w:r>
    </w:p>
  </w:endnote>
  <w:endnote w:id="14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https://www.opcw.org/chemical-weapons-convention/</w:t>
      </w:r>
    </w:p>
  </w:endnote>
  <w:endnote w:id="15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Rosenberg</w:t>
      </w:r>
    </w:p>
  </w:endnote>
  <w:endnote w:id="16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https://research.gwu.edu/export-controls-glossary-terms#C</w:t>
      </w:r>
    </w:p>
  </w:endnote>
  <w:endnote w:id="17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Small Arms Survey 2009: A Small Arms Survey Review (2007-10)</w:t>
      </w:r>
      <w:r>
        <w:rPr>
          <w:rFonts w:ascii="Times New Roman" w:hAnsi="Times New Roman"/>
          <w:sz w:val="18"/>
          <w:szCs w:val="18"/>
        </w:rPr>
        <w:t>, Graduate Institute of International Studies, Geneva, Oxford University Press, 2009, &lt;http://www.smallarmssurvey.org/fileadmin/docs/A-Yearbook/Special/SAS-Small-Arms-Control-Measures-and-ATT.pdf&gt;, p. 98.</w:t>
      </w:r>
    </w:p>
  </w:endnote>
  <w:endnote w:id="18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http://www.importexporthelp.com/a/business-to-business-definitions.htm#C</w:t>
      </w:r>
    </w:p>
  </w:endnote>
  <w:endnote w:id="19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Rosenberg</w:t>
      </w:r>
    </w:p>
  </w:endnote>
  <w:endnote w:id="20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Jerry M. Rosenberg, </w:t>
      </w:r>
      <w:r>
        <w:rPr>
          <w:rFonts w:ascii="Times New Roman" w:hAnsi="Times New Roman"/>
          <w:i/>
          <w:sz w:val="18"/>
          <w:szCs w:val="18"/>
        </w:rPr>
        <w:t>The Essential Dictionary of International Trade</w:t>
      </w:r>
      <w:r>
        <w:rPr>
          <w:rFonts w:ascii="Times New Roman" w:hAnsi="Times New Roman"/>
          <w:sz w:val="18"/>
          <w:szCs w:val="18"/>
        </w:rPr>
        <w:t>, Barnes &amp; Noble Books, 2004, p. 125.</w:t>
      </w:r>
    </w:p>
  </w:endnote>
  <w:endnote w:id="21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http://wa.ctp-inc.com/index/index/view/content/page/Definitions.html </w:t>
      </w:r>
    </w:p>
  </w:endnote>
  <w:endnote w:id="22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http://www.importexporthelp.com/a/business-to-business-definitions.htm#C</w:t>
      </w:r>
    </w:p>
  </w:endnote>
  <w:endnote w:id="23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Rosenberg</w:t>
      </w:r>
    </w:p>
  </w:endnote>
  <w:endnote w:id="24">
    <w:p w:rsidR="00100258" w:rsidRPr="00A32AF9" w:rsidRDefault="00100258" w:rsidP="00A32AF9">
      <w:pPr>
        <w:pStyle w:val="EndnoteText"/>
        <w:contextualSpacing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“Developing a Mechanism to Prevent Illicit Brokering in Small Arms and Light Weapons: Scope and Implications,” UNIDR, 2006.</w:t>
      </w:r>
    </w:p>
  </w:endnote>
  <w:endnote w:id="25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>http://www.theregister.co.uk/2014/10/17/intel_subsidiary_crypto_export_fine/;https://www.techopedia.com/definition/1770/cryptography</w:t>
      </w:r>
    </w:p>
  </w:endnote>
  <w:endnote w:id="26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https://research.gwu.edu/export-controls-glossary-terms#C</w:t>
      </w:r>
    </w:p>
  </w:endnote>
  <w:endnote w:id="27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http://mohawkglobal.com/global-news/how-to-survive-an-export-end-use-check/; https://www.bis.doc.gov/index.php/forms-documents/doc_view/1020-diversion-end-use-monitoring-concerns-and-best-practices</w:t>
      </w:r>
    </w:p>
  </w:endnote>
  <w:endnote w:id="28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http://studylib.net/doc/5423452/managing-channel-partner-export-compliance pg4.; http://www.millerchevalier.com/portalresource/ECPGRecommedations Section K</w:t>
      </w:r>
    </w:p>
  </w:endnote>
  <w:endnote w:id="29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http://www.international.gc.ca/controls-controles/export-exportation/crypto/EndUse-Temp-Utilisation_finale.aspx?lang=eng</w:t>
      </w:r>
    </w:p>
  </w:endnote>
  <w:endnote w:id="30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https://research.gwu.edu/export-controls-glossary-terms#C</w:t>
      </w:r>
    </w:p>
  </w:endnote>
  <w:endnote w:id="31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Small Arms Survey 2009: A Small Arms Survey Review (2007-10)</w:t>
      </w:r>
      <w:r>
        <w:rPr>
          <w:rFonts w:ascii="Times New Roman" w:hAnsi="Times New Roman"/>
          <w:sz w:val="18"/>
          <w:szCs w:val="18"/>
        </w:rPr>
        <w:t xml:space="preserve">, 2009, p. 98. </w:t>
      </w:r>
    </w:p>
  </w:endnote>
  <w:endnote w:id="32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http://www.supplychaindigital.com/supplychainmanagement/4315/Export-controls-and-ERP-systems:-uncovering-weaknesses-finding-solutions</w:t>
      </w:r>
    </w:p>
  </w:endnote>
  <w:endnote w:id="33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https://www.sipri.org/sites/default/files/Nonproliferation7.pdf  Pg. 4 </w:t>
      </w:r>
    </w:p>
  </w:endnote>
  <w:endnote w:id="34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http://ec.europa.eu/trade/import-and-export-rules/export-from-eu/dual-use-controls/</w:t>
      </w:r>
    </w:p>
  </w:endnote>
  <w:endnote w:id="35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http://wa.ctp-inc.com/index/index/view/content/page/Definitions.html</w:t>
      </w:r>
    </w:p>
  </w:endnote>
  <w:endnote w:id="36">
    <w:p w:rsidR="00100258" w:rsidRPr="00A32AF9" w:rsidRDefault="00100258" w:rsidP="00A32AF9">
      <w:pPr>
        <w:pStyle w:val="EndnoteText"/>
        <w:contextualSpacing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 xml:space="preserve">Dokument UN A/62/163: </w:t>
      </w:r>
      <w:r>
        <w:rPr>
          <w:rFonts w:ascii="Times New Roman" w:hAnsi="Times New Roman"/>
          <w:sz w:val="18"/>
          <w:szCs w:val="18"/>
        </w:rPr>
        <w:t>Izveštaj Grupe vladinih stručnjaka osnovane u skladu sa rezolucijom Generalne skupštine UN 60/81 u cilju razmatranja daljih koraka za unapređenje međunarodne saradnje u sprečavanju, suzbijanju i iskorenjivanju nezakonitih brokerskih usluga u oblasti malokalibarskog i lakog oružja, Generalna skupština Ujedinjenih nacija, 30. avgust 2007.</w:t>
      </w:r>
    </w:p>
  </w:endnote>
  <w:endnote w:id="37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“Developing a Mechanism to Prevent Illicit Brokering in Small Arms and Light Weapons: Scope and Implications,” UNIDR, 2006.</w:t>
      </w:r>
    </w:p>
  </w:endnote>
  <w:endnote w:id="38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https://www.unzco.com/glossary/#B</w:t>
      </w:r>
    </w:p>
  </w:endnote>
  <w:endnote w:id="39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http://wa.ctp-inc.com/index/index/view/content/page/Definitions.html </w:t>
      </w:r>
    </w:p>
  </w:endnote>
  <w:endnote w:id="40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http://www.state.gov/strategictrade/practices/c43180.htm</w:t>
      </w:r>
    </w:p>
  </w:endnote>
  <w:endnote w:id="41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Rosenberg</w:t>
      </w:r>
    </w:p>
  </w:endnote>
  <w:endnote w:id="42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http://www.unzco.com/infosource/glossary.htm#B</w:t>
      </w:r>
    </w:p>
  </w:endnote>
  <w:endnote w:id="43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Small Arms Survey 2009: A Small Arms Survey Review (2007-10)</w:t>
      </w:r>
      <w:r>
        <w:rPr>
          <w:rFonts w:ascii="Times New Roman" w:hAnsi="Times New Roman"/>
          <w:sz w:val="18"/>
          <w:szCs w:val="18"/>
        </w:rPr>
        <w:t xml:space="preserve">, 2009, p. 98. </w:t>
      </w:r>
    </w:p>
  </w:endnote>
  <w:endnote w:id="44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http://www.chamber-international.com/importing-chamber-international/international-import-certificates-/</w:t>
      </w:r>
    </w:p>
  </w:endnote>
  <w:endnote w:id="45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Rosenberg</w:t>
      </w:r>
    </w:p>
  </w:endnote>
  <w:endnote w:id="46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https://www.gov.uk/guidance/transport-and-distribution-for-international-trade</w:t>
      </w:r>
    </w:p>
  </w:endnote>
  <w:endnote w:id="47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http://www.nuclearsuppliersgroup.org/en/about-us</w:t>
      </w:r>
    </w:p>
  </w:endnote>
  <w:endnote w:id="48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http://www.australiagroup.net/en/introduction.html</w:t>
      </w:r>
    </w:p>
  </w:endnote>
  <w:endnote w:id="49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http://www.nti.org/learn/treaties-and-regimes/zangger-committee-zac/</w:t>
      </w:r>
    </w:p>
  </w:endnote>
  <w:endnote w:id="50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“United Nations International Ammunition Technical Guideline (IATG) Glossary of Terms, Definitions and Abbreviations,” UNODA, October 1, 2011.</w:t>
      </w:r>
    </w:p>
  </w:endnote>
  <w:endnote w:id="51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>http://www.ipb.org/web/index.php?mostra=content&amp;menu=Weapons%20and%20their%20impacts%20on%20communities&amp;submenu=Conventional%20Weapons</w:t>
      </w:r>
    </w:p>
  </w:endnote>
  <w:endnote w:id="52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https://www.pmddtc.state.gov/faqs/ecr.html</w:t>
      </w:r>
    </w:p>
  </w:endnote>
  <w:endnote w:id="53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Rosenberg</w:t>
      </w:r>
    </w:p>
  </w:endnote>
  <w:endnote w:id="54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https://www.bis.doc.gov/index.php/policy-guidance/lists-of-parties-of-concern</w:t>
      </w:r>
    </w:p>
  </w:endnote>
  <w:endnote w:id="55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>https://books.google.com/books?id=oJw5AAAAIAAJ&amp;pg=PA230&amp;lpg=PA230&amp;dq=%22parties+to+the+transaction%22+definition+export&amp;source=bl&amp;ots=GSe2U5F_PY&amp;sig=k1gRAWMtlIYEDDFWoKZyG7CCnAc&amp;hl=en&amp;sa=X&amp;ved=0ahUKEwirl6esgc_NAhVp0YMKHRd7DxYQ6AEIWzAJ#v=onepage&amp;q=%22parties%20to%20the%20transaction%22%20definition%20export&amp;f=false</w:t>
      </w:r>
    </w:p>
  </w:endnote>
  <w:endnote w:id="56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http://wa.ctp-inc.com/index/index/view/content/page/Definitions.html</w:t>
      </w:r>
    </w:p>
  </w:endnote>
  <w:endnote w:id="57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http://wa.ctp-inc.com/index/index/view/content/page/Definitions.html</w:t>
      </w:r>
    </w:p>
  </w:endnote>
  <w:endnote w:id="58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Rosenberg</w:t>
      </w:r>
    </w:p>
  </w:endnote>
  <w:endnote w:id="59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http://wa.ctp-inc.com/index/index/view/content/page/Definitions.html</w:t>
      </w:r>
    </w:p>
  </w:endnote>
  <w:endnote w:id="60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http://www.fatf-gafi.org/media/fatf/documents/reports/Status-report-proliferation-financing.pdf Pg. 10</w:t>
      </w:r>
    </w:p>
  </w:endnote>
  <w:endnote w:id="61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https://research.gwu.edu/export-controls-glossary-terms#C</w:t>
      </w:r>
    </w:p>
  </w:endnote>
  <w:endnote w:id="62">
    <w:p w:rsidR="00100258" w:rsidRPr="00A32AF9" w:rsidRDefault="00100258" w:rsidP="00A32AF9">
      <w:pPr>
        <w:pStyle w:val="EndnoteText"/>
        <w:contextualSpacing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Anders and Catteneo, “Taking Stock and Moving Forward the United Nations Process,” 2005.</w:t>
      </w:r>
    </w:p>
  </w:endnote>
  <w:endnote w:id="63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http://www.importexporthelp.com/a/business-terms.htm#E</w:t>
      </w:r>
    </w:p>
  </w:endnote>
  <w:endnote w:id="64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http://www.cfr.org/sanctions/economic-sanctions/p36259</w:t>
      </w:r>
    </w:p>
  </w:endnote>
  <w:endnote w:id="65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http://www.smallarmssurvey.org/weapons-and-markets/definitions.html</w:t>
      </w:r>
    </w:p>
  </w:endnote>
  <w:endnote w:id="66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http://www.smallarmssurvey.org/weapons-and-markets/definitions.html</w:t>
      </w:r>
    </w:p>
  </w:endnote>
  <w:endnote w:id="67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http://www.smallarmssurvey.org/weapons-and-markets/definitions.html</w:t>
      </w:r>
    </w:p>
  </w:endnote>
  <w:endnote w:id="68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WCO STC Enforcement Implementation Guide - http://www.wcoomd.org/en/topics/enforcement-and-compliance/instruments-and-tools/guidelines/~/media/WCO/Public/Global/PDF/Topics/Enforcement%20and%20Compliance/Tools%20and%20Instruments/STCE%20Implementation%20Guide/STCE%20Implementation%20Guide%20-%20E%20-%20small.ashx </w:t>
      </w:r>
    </w:p>
  </w:endnote>
  <w:endnote w:id="69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BAFA export control ICP.pdf</w:t>
      </w:r>
    </w:p>
  </w:endnote>
  <w:endnote w:id="70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http://wa.ctp-inc.com/index/index/view/content/page/Definitions.html</w:t>
      </w:r>
    </w:p>
  </w:endnote>
  <w:endnote w:id="71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https://www.wto.org/english/thewto_e/glossary_e/glossary_e.htm</w:t>
      </w:r>
    </w:p>
  </w:endnote>
  <w:endnote w:id="72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Small Arms Survey 2009: A Small Arms Survey Review (2007-10)</w:t>
      </w:r>
      <w:r>
        <w:rPr>
          <w:rFonts w:ascii="Times New Roman" w:hAnsi="Times New Roman"/>
          <w:sz w:val="18"/>
          <w:szCs w:val="18"/>
        </w:rPr>
        <w:t>, 2009, p. 98.</w:t>
      </w:r>
    </w:p>
  </w:endnote>
  <w:endnote w:id="73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Regulation (EC) No. 428/2009</w:t>
      </w:r>
      <w:r>
        <w:rPr>
          <w:rFonts w:ascii="Times New Roman" w:hAnsi="Times New Roman"/>
          <w:sz w:val="18"/>
          <w:szCs w:val="18"/>
        </w:rPr>
        <w:t>, Article 2(7).</w:t>
      </w:r>
    </w:p>
  </w:endnote>
  <w:endnote w:id="74">
    <w:p w:rsidR="00100258" w:rsidRPr="00A32AF9" w:rsidRDefault="00100258" w:rsidP="00A32AF9">
      <w:pPr>
        <w:pStyle w:val="EndnoteText"/>
        <w:contextualSpacing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Small Arms Survey 2001: Profiling the Problem</w:t>
      </w:r>
      <w:r>
        <w:rPr>
          <w:rFonts w:ascii="Times New Roman" w:hAnsi="Times New Roman"/>
          <w:sz w:val="18"/>
          <w:szCs w:val="18"/>
        </w:rPr>
        <w:t>, 2001, Chapter 3.</w:t>
      </w:r>
    </w:p>
  </w:endnote>
  <w:endnote w:id="75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“Developing a Mechanism to Prevent Illicit Brokering in Small Arms and Light Weapons: Scope and Implications,” UNIDR, 2006, p. 148.</w:t>
      </w:r>
    </w:p>
  </w:endnote>
  <w:endnote w:id="76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Small Arms Survey 2009: A Small Arms Survey Review (2007-10)</w:t>
      </w:r>
      <w:r>
        <w:rPr>
          <w:rFonts w:ascii="Times New Roman" w:hAnsi="Times New Roman"/>
          <w:sz w:val="18"/>
          <w:szCs w:val="18"/>
        </w:rPr>
        <w:t>, 2009, p. 98.</w:t>
      </w:r>
    </w:p>
  </w:endnote>
  <w:endnote w:id="77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https://www.un.org/sc/suborg/en/</w:t>
      </w:r>
    </w:p>
  </w:endnote>
  <w:endnote w:id="78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http://www.un.org/en/sc/1540/</w:t>
      </w:r>
    </w:p>
  </w:endnote>
  <w:endnote w:id="79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http://wa.ctp-inc.com/index/index/view/content/page/Definitions.html </w:t>
      </w:r>
    </w:p>
  </w:endnote>
  <w:endnote w:id="80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http://wa.ctp-inc.com/index/index/view/content/page/Definitions.html</w:t>
      </w:r>
    </w:p>
  </w:endnote>
  <w:endnote w:id="81">
    <w:p w:rsidR="00100258" w:rsidRPr="00A32AF9" w:rsidRDefault="00100258" w:rsidP="00A32AF9">
      <w:pPr>
        <w:pStyle w:val="EndnoteText"/>
        <w:rPr>
          <w:rFonts w:ascii="Times New Roman" w:hAnsi="Times New Roman"/>
          <w:sz w:val="18"/>
          <w:szCs w:val="18"/>
        </w:rPr>
      </w:pPr>
      <w:r>
        <w:rPr>
          <w:rStyle w:val="EndnoteReference"/>
          <w:rFonts w:ascii="Times New Roman" w:hAnsi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http://www.wcoomd.org/en/about-us/what-is-the-wco.aspx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58" w:rsidRDefault="0010025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04EC">
      <w:rPr>
        <w:noProof/>
      </w:rPr>
      <w:t>1</w:t>
    </w:r>
    <w:r>
      <w:fldChar w:fldCharType="end"/>
    </w:r>
  </w:p>
  <w:p w:rsidR="00100258" w:rsidRDefault="00100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1A5" w:rsidRDefault="007441A5" w:rsidP="005B7DFA">
      <w:pPr>
        <w:spacing w:after="0" w:line="240" w:lineRule="auto"/>
      </w:pPr>
      <w:r>
        <w:separator/>
      </w:r>
    </w:p>
  </w:footnote>
  <w:footnote w:type="continuationSeparator" w:id="0">
    <w:p w:rsidR="007441A5" w:rsidRDefault="007441A5" w:rsidP="005B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48A"/>
    <w:multiLevelType w:val="hybridMultilevel"/>
    <w:tmpl w:val="57560FD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EDB0E03"/>
    <w:multiLevelType w:val="multilevel"/>
    <w:tmpl w:val="5AA6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DD399A"/>
    <w:multiLevelType w:val="hybridMultilevel"/>
    <w:tmpl w:val="1034E4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31F66"/>
    <w:multiLevelType w:val="hybridMultilevel"/>
    <w:tmpl w:val="8604D9A6"/>
    <w:lvl w:ilvl="0" w:tplc="EB12AE74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3067B8"/>
    <w:multiLevelType w:val="hybridMultilevel"/>
    <w:tmpl w:val="46B05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D380D"/>
    <w:multiLevelType w:val="hybridMultilevel"/>
    <w:tmpl w:val="2FF8C6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80475"/>
    <w:multiLevelType w:val="hybridMultilevel"/>
    <w:tmpl w:val="6BE0F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15DC8"/>
    <w:multiLevelType w:val="hybridMultilevel"/>
    <w:tmpl w:val="1ADCB4FA"/>
    <w:lvl w:ilvl="0" w:tplc="55783552">
      <w:start w:val="4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A6AFA"/>
    <w:multiLevelType w:val="hybridMultilevel"/>
    <w:tmpl w:val="86E8F35A"/>
    <w:lvl w:ilvl="0" w:tplc="7F8460A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453EC0"/>
    <w:multiLevelType w:val="hybridMultilevel"/>
    <w:tmpl w:val="F6585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C2BD5"/>
    <w:multiLevelType w:val="hybridMultilevel"/>
    <w:tmpl w:val="A4FA984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02402F2"/>
    <w:multiLevelType w:val="hybridMultilevel"/>
    <w:tmpl w:val="38E28BAA"/>
    <w:lvl w:ilvl="0" w:tplc="7F8460A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314DD6"/>
    <w:multiLevelType w:val="hybridMultilevel"/>
    <w:tmpl w:val="A8DA2E52"/>
    <w:lvl w:ilvl="0" w:tplc="7F8460A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9445EF"/>
    <w:multiLevelType w:val="hybridMultilevel"/>
    <w:tmpl w:val="4BCA13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10C3B"/>
    <w:multiLevelType w:val="hybridMultilevel"/>
    <w:tmpl w:val="E258076E"/>
    <w:lvl w:ilvl="0" w:tplc="7F8460A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114426"/>
    <w:multiLevelType w:val="hybridMultilevel"/>
    <w:tmpl w:val="961E9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15"/>
  </w:num>
  <w:num w:numId="8">
    <w:abstractNumId w:val="3"/>
  </w:num>
  <w:num w:numId="9">
    <w:abstractNumId w:val="12"/>
  </w:num>
  <w:num w:numId="10">
    <w:abstractNumId w:val="10"/>
  </w:num>
  <w:num w:numId="11">
    <w:abstractNumId w:val="2"/>
  </w:num>
  <w:num w:numId="12">
    <w:abstractNumId w:val="11"/>
  </w:num>
  <w:num w:numId="13">
    <w:abstractNumId w:val="6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D2"/>
    <w:rsid w:val="00006847"/>
    <w:rsid w:val="00012B5F"/>
    <w:rsid w:val="00013541"/>
    <w:rsid w:val="0001486B"/>
    <w:rsid w:val="00015548"/>
    <w:rsid w:val="000176DA"/>
    <w:rsid w:val="00022241"/>
    <w:rsid w:val="00025A75"/>
    <w:rsid w:val="0003213E"/>
    <w:rsid w:val="00035258"/>
    <w:rsid w:val="00036101"/>
    <w:rsid w:val="00041757"/>
    <w:rsid w:val="00042003"/>
    <w:rsid w:val="00045B75"/>
    <w:rsid w:val="00050405"/>
    <w:rsid w:val="00051092"/>
    <w:rsid w:val="00075F82"/>
    <w:rsid w:val="00083259"/>
    <w:rsid w:val="00083CDF"/>
    <w:rsid w:val="000844D5"/>
    <w:rsid w:val="0009134C"/>
    <w:rsid w:val="00093356"/>
    <w:rsid w:val="00096984"/>
    <w:rsid w:val="000B07DA"/>
    <w:rsid w:val="000B39D9"/>
    <w:rsid w:val="000B6CB8"/>
    <w:rsid w:val="000C4BA6"/>
    <w:rsid w:val="000C5C79"/>
    <w:rsid w:val="000D0F50"/>
    <w:rsid w:val="000D1F06"/>
    <w:rsid w:val="000D28B4"/>
    <w:rsid w:val="000D2CFE"/>
    <w:rsid w:val="000D47A4"/>
    <w:rsid w:val="000E137C"/>
    <w:rsid w:val="000E2A88"/>
    <w:rsid w:val="000E4628"/>
    <w:rsid w:val="000E4B23"/>
    <w:rsid w:val="000E6AC1"/>
    <w:rsid w:val="000F1659"/>
    <w:rsid w:val="00100258"/>
    <w:rsid w:val="001173B1"/>
    <w:rsid w:val="00117B4A"/>
    <w:rsid w:val="0012272C"/>
    <w:rsid w:val="00122F5D"/>
    <w:rsid w:val="00124439"/>
    <w:rsid w:val="00127CD2"/>
    <w:rsid w:val="00133067"/>
    <w:rsid w:val="00137EFF"/>
    <w:rsid w:val="001407BC"/>
    <w:rsid w:val="001477EF"/>
    <w:rsid w:val="0015214A"/>
    <w:rsid w:val="00157C5A"/>
    <w:rsid w:val="00160102"/>
    <w:rsid w:val="00160B03"/>
    <w:rsid w:val="001622EC"/>
    <w:rsid w:val="00164042"/>
    <w:rsid w:val="00165710"/>
    <w:rsid w:val="001720EB"/>
    <w:rsid w:val="00175167"/>
    <w:rsid w:val="0017651C"/>
    <w:rsid w:val="00176982"/>
    <w:rsid w:val="00176B64"/>
    <w:rsid w:val="001827B9"/>
    <w:rsid w:val="00191149"/>
    <w:rsid w:val="001A150C"/>
    <w:rsid w:val="001A2439"/>
    <w:rsid w:val="001A2D13"/>
    <w:rsid w:val="001A32C2"/>
    <w:rsid w:val="001A44F9"/>
    <w:rsid w:val="001A5F84"/>
    <w:rsid w:val="001B45F3"/>
    <w:rsid w:val="001B5231"/>
    <w:rsid w:val="001B7E13"/>
    <w:rsid w:val="001C3801"/>
    <w:rsid w:val="001C41D6"/>
    <w:rsid w:val="001E11CD"/>
    <w:rsid w:val="001E2DEB"/>
    <w:rsid w:val="001E2F24"/>
    <w:rsid w:val="001F2A4D"/>
    <w:rsid w:val="001F38EB"/>
    <w:rsid w:val="001F7060"/>
    <w:rsid w:val="0020058F"/>
    <w:rsid w:val="00201936"/>
    <w:rsid w:val="00202368"/>
    <w:rsid w:val="00202584"/>
    <w:rsid w:val="00205163"/>
    <w:rsid w:val="00212486"/>
    <w:rsid w:val="00217BE9"/>
    <w:rsid w:val="00223610"/>
    <w:rsid w:val="00224032"/>
    <w:rsid w:val="002337E3"/>
    <w:rsid w:val="002339A2"/>
    <w:rsid w:val="002554D1"/>
    <w:rsid w:val="00260074"/>
    <w:rsid w:val="00260A58"/>
    <w:rsid w:val="002610C1"/>
    <w:rsid w:val="00261B8F"/>
    <w:rsid w:val="00263454"/>
    <w:rsid w:val="002637F9"/>
    <w:rsid w:val="00264AEE"/>
    <w:rsid w:val="0027540F"/>
    <w:rsid w:val="002803E0"/>
    <w:rsid w:val="002852D6"/>
    <w:rsid w:val="00290A94"/>
    <w:rsid w:val="002A0146"/>
    <w:rsid w:val="002B1863"/>
    <w:rsid w:val="002B658D"/>
    <w:rsid w:val="002C3407"/>
    <w:rsid w:val="002C6704"/>
    <w:rsid w:val="002D0695"/>
    <w:rsid w:val="002D1F1E"/>
    <w:rsid w:val="002D5F92"/>
    <w:rsid w:val="002E026A"/>
    <w:rsid w:val="002E04CA"/>
    <w:rsid w:val="002F0A5A"/>
    <w:rsid w:val="002F52C5"/>
    <w:rsid w:val="002F59F0"/>
    <w:rsid w:val="002F5FB2"/>
    <w:rsid w:val="002F7667"/>
    <w:rsid w:val="00300BBD"/>
    <w:rsid w:val="00305253"/>
    <w:rsid w:val="0031170C"/>
    <w:rsid w:val="0032764C"/>
    <w:rsid w:val="00330318"/>
    <w:rsid w:val="00332C46"/>
    <w:rsid w:val="00334756"/>
    <w:rsid w:val="00337523"/>
    <w:rsid w:val="00342DB7"/>
    <w:rsid w:val="00345DC8"/>
    <w:rsid w:val="003542A7"/>
    <w:rsid w:val="00354310"/>
    <w:rsid w:val="00354D42"/>
    <w:rsid w:val="0036012A"/>
    <w:rsid w:val="00361347"/>
    <w:rsid w:val="00361E3C"/>
    <w:rsid w:val="00362A6B"/>
    <w:rsid w:val="00363592"/>
    <w:rsid w:val="0036565E"/>
    <w:rsid w:val="00365F11"/>
    <w:rsid w:val="00370F9E"/>
    <w:rsid w:val="0037149F"/>
    <w:rsid w:val="00377687"/>
    <w:rsid w:val="003804AC"/>
    <w:rsid w:val="0038497C"/>
    <w:rsid w:val="00386C9E"/>
    <w:rsid w:val="0038757F"/>
    <w:rsid w:val="00392512"/>
    <w:rsid w:val="003A13A3"/>
    <w:rsid w:val="003A20AB"/>
    <w:rsid w:val="003A4FA1"/>
    <w:rsid w:val="003B3A25"/>
    <w:rsid w:val="003B560B"/>
    <w:rsid w:val="003B57BE"/>
    <w:rsid w:val="003C04C9"/>
    <w:rsid w:val="003C7EDA"/>
    <w:rsid w:val="003D2D50"/>
    <w:rsid w:val="003D4B95"/>
    <w:rsid w:val="003D720D"/>
    <w:rsid w:val="003E18C8"/>
    <w:rsid w:val="003E5A5D"/>
    <w:rsid w:val="003F342A"/>
    <w:rsid w:val="003F3B09"/>
    <w:rsid w:val="00401E90"/>
    <w:rsid w:val="00404C7D"/>
    <w:rsid w:val="004070D1"/>
    <w:rsid w:val="00412FA9"/>
    <w:rsid w:val="00413503"/>
    <w:rsid w:val="00422B3F"/>
    <w:rsid w:val="00425E96"/>
    <w:rsid w:val="00426B5B"/>
    <w:rsid w:val="00434756"/>
    <w:rsid w:val="004368CC"/>
    <w:rsid w:val="004445F5"/>
    <w:rsid w:val="00445DDA"/>
    <w:rsid w:val="00447A16"/>
    <w:rsid w:val="00452892"/>
    <w:rsid w:val="004705CF"/>
    <w:rsid w:val="00480365"/>
    <w:rsid w:val="004857BC"/>
    <w:rsid w:val="0048676E"/>
    <w:rsid w:val="004906D4"/>
    <w:rsid w:val="00491A09"/>
    <w:rsid w:val="00492EA3"/>
    <w:rsid w:val="00496CCB"/>
    <w:rsid w:val="004A3463"/>
    <w:rsid w:val="004A709B"/>
    <w:rsid w:val="004B0FC2"/>
    <w:rsid w:val="004B44ED"/>
    <w:rsid w:val="004B4FA0"/>
    <w:rsid w:val="004C0434"/>
    <w:rsid w:val="004C16A3"/>
    <w:rsid w:val="424D53FF"/>
    <w:rsid w:val="0000002F"/>
    <w:rsid w:val="C8071800"/>
    <w:rsid w:val="00000000"/>
    <w:rsid w:val="00000000"/>
    <w:rsid w:val="00000000"/>
    <w:rsid w:val="004561AE"/>
    <w:rsid w:val="004F47D7"/>
    <w:rsid w:val="00542A99"/>
    <w:rsid w:val="005534BF"/>
    <w:rsid w:val="FEFF1802"/>
    <w:rsid w:val="7F531000"/>
    <w:rsid w:val="DE00FF0E"/>
    <w:rsid w:val="008016DE"/>
    <w:rsid w:val="FF000480"/>
    <w:rsid w:val="00FFFFFF"/>
    <w:rsid w:val="00000000"/>
    <w:rsid w:val="40800000"/>
    <w:rsid w:val="00000000"/>
    <w:rsid w:val="EE800100"/>
    <w:rsid w:val="00540E91"/>
    <w:rsid w:val="0054317F"/>
    <w:rsid w:val="00551B1A"/>
    <w:rsid w:val="00554101"/>
    <w:rsid w:val="0055448D"/>
    <w:rsid w:val="00554CE1"/>
    <w:rsid w:val="00554FD7"/>
    <w:rsid w:val="0056540E"/>
    <w:rsid w:val="0056692F"/>
    <w:rsid w:val="00574BD8"/>
    <w:rsid w:val="00575166"/>
    <w:rsid w:val="00576CE9"/>
    <w:rsid w:val="005819D0"/>
    <w:rsid w:val="00582547"/>
    <w:rsid w:val="00586579"/>
    <w:rsid w:val="00587EB9"/>
    <w:rsid w:val="00590CE4"/>
    <w:rsid w:val="00594A04"/>
    <w:rsid w:val="00594DB7"/>
    <w:rsid w:val="005A3841"/>
    <w:rsid w:val="005B0050"/>
    <w:rsid w:val="005B46D1"/>
    <w:rsid w:val="005B7DFA"/>
    <w:rsid w:val="005C00E7"/>
    <w:rsid w:val="005C0687"/>
    <w:rsid w:val="005C356A"/>
    <w:rsid w:val="005D55E1"/>
    <w:rsid w:val="005E070D"/>
    <w:rsid w:val="005E1923"/>
    <w:rsid w:val="005E7955"/>
    <w:rsid w:val="005F033F"/>
    <w:rsid w:val="005F0ACC"/>
    <w:rsid w:val="005F3D0C"/>
    <w:rsid w:val="005F7266"/>
    <w:rsid w:val="00602132"/>
    <w:rsid w:val="00603D74"/>
    <w:rsid w:val="00603DD6"/>
    <w:rsid w:val="00607269"/>
    <w:rsid w:val="0061521C"/>
    <w:rsid w:val="006173E6"/>
    <w:rsid w:val="00621B5C"/>
    <w:rsid w:val="0062397C"/>
    <w:rsid w:val="00635B4F"/>
    <w:rsid w:val="00645D25"/>
    <w:rsid w:val="00653491"/>
    <w:rsid w:val="006554B7"/>
    <w:rsid w:val="00662178"/>
    <w:rsid w:val="00663054"/>
    <w:rsid w:val="00667F47"/>
    <w:rsid w:val="0067097B"/>
    <w:rsid w:val="00673DE3"/>
    <w:rsid w:val="00675D61"/>
    <w:rsid w:val="00676EE9"/>
    <w:rsid w:val="006807C2"/>
    <w:rsid w:val="00680C3E"/>
    <w:rsid w:val="0068428B"/>
    <w:rsid w:val="00695C9F"/>
    <w:rsid w:val="006A4445"/>
    <w:rsid w:val="006B1647"/>
    <w:rsid w:val="006B72CD"/>
    <w:rsid w:val="006C142B"/>
    <w:rsid w:val="006C262C"/>
    <w:rsid w:val="006C5694"/>
    <w:rsid w:val="006C6AF4"/>
    <w:rsid w:val="006D2DFB"/>
    <w:rsid w:val="006D42A7"/>
    <w:rsid w:val="006E0F87"/>
    <w:rsid w:val="006E76AC"/>
    <w:rsid w:val="006F2A38"/>
    <w:rsid w:val="0070367B"/>
    <w:rsid w:val="00713C95"/>
    <w:rsid w:val="00717CBE"/>
    <w:rsid w:val="00720E3B"/>
    <w:rsid w:val="007247CF"/>
    <w:rsid w:val="00724859"/>
    <w:rsid w:val="0072636B"/>
    <w:rsid w:val="00727418"/>
    <w:rsid w:val="00732189"/>
    <w:rsid w:val="007363FF"/>
    <w:rsid w:val="00741EB2"/>
    <w:rsid w:val="007441A5"/>
    <w:rsid w:val="00760517"/>
    <w:rsid w:val="00761632"/>
    <w:rsid w:val="007635E0"/>
    <w:rsid w:val="00765537"/>
    <w:rsid w:val="00765D6D"/>
    <w:rsid w:val="00765F7A"/>
    <w:rsid w:val="0076791D"/>
    <w:rsid w:val="00770DE0"/>
    <w:rsid w:val="00771949"/>
    <w:rsid w:val="007722B1"/>
    <w:rsid w:val="007758F2"/>
    <w:rsid w:val="00785F3E"/>
    <w:rsid w:val="007A48BC"/>
    <w:rsid w:val="007B7BBD"/>
    <w:rsid w:val="007C16E4"/>
    <w:rsid w:val="007C21FA"/>
    <w:rsid w:val="007C4D82"/>
    <w:rsid w:val="007C7C51"/>
    <w:rsid w:val="007C7CD0"/>
    <w:rsid w:val="007D0424"/>
    <w:rsid w:val="007D7B30"/>
    <w:rsid w:val="007D7BF5"/>
    <w:rsid w:val="007E28DF"/>
    <w:rsid w:val="007E7598"/>
    <w:rsid w:val="007E7AA7"/>
    <w:rsid w:val="007F0F8D"/>
    <w:rsid w:val="007F38F3"/>
    <w:rsid w:val="007F3E25"/>
    <w:rsid w:val="007F5CC4"/>
    <w:rsid w:val="007F6AA7"/>
    <w:rsid w:val="007F6EB0"/>
    <w:rsid w:val="00800E15"/>
    <w:rsid w:val="00803BFE"/>
    <w:rsid w:val="00804D32"/>
    <w:rsid w:val="00804D7F"/>
    <w:rsid w:val="00806A6C"/>
    <w:rsid w:val="00807238"/>
    <w:rsid w:val="00810386"/>
    <w:rsid w:val="00813F79"/>
    <w:rsid w:val="008153CD"/>
    <w:rsid w:val="00815B2B"/>
    <w:rsid w:val="008174F2"/>
    <w:rsid w:val="00823D29"/>
    <w:rsid w:val="0082500A"/>
    <w:rsid w:val="00826E9B"/>
    <w:rsid w:val="00831779"/>
    <w:rsid w:val="008335E5"/>
    <w:rsid w:val="00843621"/>
    <w:rsid w:val="008449C5"/>
    <w:rsid w:val="00846F98"/>
    <w:rsid w:val="008476BC"/>
    <w:rsid w:val="00850C00"/>
    <w:rsid w:val="00851AE3"/>
    <w:rsid w:val="00860881"/>
    <w:rsid w:val="00862847"/>
    <w:rsid w:val="00864876"/>
    <w:rsid w:val="00867374"/>
    <w:rsid w:val="00872562"/>
    <w:rsid w:val="00873ECA"/>
    <w:rsid w:val="00875A71"/>
    <w:rsid w:val="00877D8C"/>
    <w:rsid w:val="0088250B"/>
    <w:rsid w:val="00886586"/>
    <w:rsid w:val="0088668A"/>
    <w:rsid w:val="00886ADC"/>
    <w:rsid w:val="0088751B"/>
    <w:rsid w:val="00890247"/>
    <w:rsid w:val="00895CEE"/>
    <w:rsid w:val="008A14FD"/>
    <w:rsid w:val="008B1AD3"/>
    <w:rsid w:val="008B2110"/>
    <w:rsid w:val="008B45BA"/>
    <w:rsid w:val="008B561A"/>
    <w:rsid w:val="008B7563"/>
    <w:rsid w:val="008C1AB7"/>
    <w:rsid w:val="008C221F"/>
    <w:rsid w:val="008C4A32"/>
    <w:rsid w:val="008C4F91"/>
    <w:rsid w:val="008C670E"/>
    <w:rsid w:val="008D1DD3"/>
    <w:rsid w:val="008D2856"/>
    <w:rsid w:val="008D3C57"/>
    <w:rsid w:val="008D6299"/>
    <w:rsid w:val="008E3AA8"/>
    <w:rsid w:val="008F13FA"/>
    <w:rsid w:val="008F14B9"/>
    <w:rsid w:val="008F1CC5"/>
    <w:rsid w:val="008F2B73"/>
    <w:rsid w:val="008F7409"/>
    <w:rsid w:val="00901C98"/>
    <w:rsid w:val="009020A8"/>
    <w:rsid w:val="00905BE3"/>
    <w:rsid w:val="00906121"/>
    <w:rsid w:val="00922778"/>
    <w:rsid w:val="00923136"/>
    <w:rsid w:val="009240DA"/>
    <w:rsid w:val="00930FC8"/>
    <w:rsid w:val="00934E35"/>
    <w:rsid w:val="009409BF"/>
    <w:rsid w:val="009473D1"/>
    <w:rsid w:val="00950A52"/>
    <w:rsid w:val="00951D5E"/>
    <w:rsid w:val="009554CC"/>
    <w:rsid w:val="00961C7D"/>
    <w:rsid w:val="00962744"/>
    <w:rsid w:val="0096477E"/>
    <w:rsid w:val="00965668"/>
    <w:rsid w:val="00966B16"/>
    <w:rsid w:val="009715B2"/>
    <w:rsid w:val="009806C5"/>
    <w:rsid w:val="009841A4"/>
    <w:rsid w:val="00987BD5"/>
    <w:rsid w:val="00990E8A"/>
    <w:rsid w:val="009963E7"/>
    <w:rsid w:val="009A2F51"/>
    <w:rsid w:val="009A3242"/>
    <w:rsid w:val="009A503C"/>
    <w:rsid w:val="009B29E8"/>
    <w:rsid w:val="009B59EC"/>
    <w:rsid w:val="009C02C3"/>
    <w:rsid w:val="009C1DA2"/>
    <w:rsid w:val="009C269B"/>
    <w:rsid w:val="009C6846"/>
    <w:rsid w:val="009C7AD3"/>
    <w:rsid w:val="009D0D06"/>
    <w:rsid w:val="009D32E0"/>
    <w:rsid w:val="009D4C3D"/>
    <w:rsid w:val="009D5E2E"/>
    <w:rsid w:val="009E3B00"/>
    <w:rsid w:val="009E51A7"/>
    <w:rsid w:val="009E5846"/>
    <w:rsid w:val="009E641C"/>
    <w:rsid w:val="009F5C99"/>
    <w:rsid w:val="009F77FD"/>
    <w:rsid w:val="00A01BC5"/>
    <w:rsid w:val="00A05E7E"/>
    <w:rsid w:val="00A063FC"/>
    <w:rsid w:val="00A1029D"/>
    <w:rsid w:val="00A1084E"/>
    <w:rsid w:val="00A11F4F"/>
    <w:rsid w:val="00A120FA"/>
    <w:rsid w:val="00A15AAA"/>
    <w:rsid w:val="00A226A8"/>
    <w:rsid w:val="00A228AF"/>
    <w:rsid w:val="00A25589"/>
    <w:rsid w:val="00A32AF9"/>
    <w:rsid w:val="00A43B99"/>
    <w:rsid w:val="00A503A7"/>
    <w:rsid w:val="00A5314B"/>
    <w:rsid w:val="00A53DF0"/>
    <w:rsid w:val="00A60530"/>
    <w:rsid w:val="00A716F0"/>
    <w:rsid w:val="00A72CA5"/>
    <w:rsid w:val="00A73D14"/>
    <w:rsid w:val="00A761BA"/>
    <w:rsid w:val="00A76BB6"/>
    <w:rsid w:val="00A83B78"/>
    <w:rsid w:val="00A860CC"/>
    <w:rsid w:val="00A86BF6"/>
    <w:rsid w:val="00A9392B"/>
    <w:rsid w:val="00A94A97"/>
    <w:rsid w:val="00AA19CA"/>
    <w:rsid w:val="00AA7E36"/>
    <w:rsid w:val="00AB3C70"/>
    <w:rsid w:val="00AB450E"/>
    <w:rsid w:val="00AB5B6D"/>
    <w:rsid w:val="00AC0E16"/>
    <w:rsid w:val="00AC38F4"/>
    <w:rsid w:val="00AC49F0"/>
    <w:rsid w:val="00AD08B9"/>
    <w:rsid w:val="00AD09EF"/>
    <w:rsid w:val="00AD185C"/>
    <w:rsid w:val="00AD4490"/>
    <w:rsid w:val="00AD6139"/>
    <w:rsid w:val="00AD661B"/>
    <w:rsid w:val="00AD6DBB"/>
    <w:rsid w:val="00AD7263"/>
    <w:rsid w:val="00AD7927"/>
    <w:rsid w:val="00AE0C8D"/>
    <w:rsid w:val="00AE2989"/>
    <w:rsid w:val="00AE395F"/>
    <w:rsid w:val="00AF1834"/>
    <w:rsid w:val="00B10CAF"/>
    <w:rsid w:val="00B12A63"/>
    <w:rsid w:val="00B21BF2"/>
    <w:rsid w:val="00B22947"/>
    <w:rsid w:val="00B24CAC"/>
    <w:rsid w:val="00B25D40"/>
    <w:rsid w:val="00B3072F"/>
    <w:rsid w:val="00B32C73"/>
    <w:rsid w:val="00B33096"/>
    <w:rsid w:val="00B35908"/>
    <w:rsid w:val="00B40F5C"/>
    <w:rsid w:val="00B47495"/>
    <w:rsid w:val="00B47982"/>
    <w:rsid w:val="00B5060F"/>
    <w:rsid w:val="00B53314"/>
    <w:rsid w:val="00B53C92"/>
    <w:rsid w:val="00B60A0E"/>
    <w:rsid w:val="00B65DC5"/>
    <w:rsid w:val="00B66EE5"/>
    <w:rsid w:val="00B7264A"/>
    <w:rsid w:val="00B72B20"/>
    <w:rsid w:val="00B85A87"/>
    <w:rsid w:val="00B86FAB"/>
    <w:rsid w:val="00B91543"/>
    <w:rsid w:val="00B92153"/>
    <w:rsid w:val="00B9731F"/>
    <w:rsid w:val="00B97FBA"/>
    <w:rsid w:val="00BA0394"/>
    <w:rsid w:val="00BA28AA"/>
    <w:rsid w:val="00BB39A6"/>
    <w:rsid w:val="00BB698D"/>
    <w:rsid w:val="00BB6A69"/>
    <w:rsid w:val="00BB6B33"/>
    <w:rsid w:val="00BC04C7"/>
    <w:rsid w:val="00BC3291"/>
    <w:rsid w:val="00BC4221"/>
    <w:rsid w:val="00BD0540"/>
    <w:rsid w:val="00BD0CAB"/>
    <w:rsid w:val="00BD3F6D"/>
    <w:rsid w:val="00BD5BC8"/>
    <w:rsid w:val="00BD7758"/>
    <w:rsid w:val="00BE4111"/>
    <w:rsid w:val="00BF1189"/>
    <w:rsid w:val="00BF5292"/>
    <w:rsid w:val="00BF77A1"/>
    <w:rsid w:val="00BF7C22"/>
    <w:rsid w:val="00C0219E"/>
    <w:rsid w:val="00C05575"/>
    <w:rsid w:val="00C104D8"/>
    <w:rsid w:val="00C14B31"/>
    <w:rsid w:val="00C14E61"/>
    <w:rsid w:val="00C2086A"/>
    <w:rsid w:val="00C25151"/>
    <w:rsid w:val="00C257C7"/>
    <w:rsid w:val="00C36177"/>
    <w:rsid w:val="00C3661E"/>
    <w:rsid w:val="00C36D10"/>
    <w:rsid w:val="00C37B48"/>
    <w:rsid w:val="00C40687"/>
    <w:rsid w:val="00C42196"/>
    <w:rsid w:val="00C4744B"/>
    <w:rsid w:val="00C519FF"/>
    <w:rsid w:val="00C631E5"/>
    <w:rsid w:val="00C657C2"/>
    <w:rsid w:val="00C71007"/>
    <w:rsid w:val="00C81CB5"/>
    <w:rsid w:val="00C8236B"/>
    <w:rsid w:val="00C9210E"/>
    <w:rsid w:val="00C97906"/>
    <w:rsid w:val="00CA1B70"/>
    <w:rsid w:val="00CB772B"/>
    <w:rsid w:val="00CC3AF8"/>
    <w:rsid w:val="00CD0B9F"/>
    <w:rsid w:val="00CD0DAE"/>
    <w:rsid w:val="00CD10F5"/>
    <w:rsid w:val="00CD2EA3"/>
    <w:rsid w:val="00CD5F44"/>
    <w:rsid w:val="00CE03A5"/>
    <w:rsid w:val="00CE11F7"/>
    <w:rsid w:val="00CE15FB"/>
    <w:rsid w:val="00CE4AB7"/>
    <w:rsid w:val="00CF7D1E"/>
    <w:rsid w:val="00D1476F"/>
    <w:rsid w:val="00D15B39"/>
    <w:rsid w:val="00D16CAA"/>
    <w:rsid w:val="00D218BF"/>
    <w:rsid w:val="00D2313E"/>
    <w:rsid w:val="00D24AD3"/>
    <w:rsid w:val="00D24CB7"/>
    <w:rsid w:val="00D30781"/>
    <w:rsid w:val="00D30E21"/>
    <w:rsid w:val="00D36DE7"/>
    <w:rsid w:val="00D37281"/>
    <w:rsid w:val="00D37867"/>
    <w:rsid w:val="00D42307"/>
    <w:rsid w:val="00D43C96"/>
    <w:rsid w:val="00D51358"/>
    <w:rsid w:val="00D533D9"/>
    <w:rsid w:val="00D54387"/>
    <w:rsid w:val="00D5582B"/>
    <w:rsid w:val="00D63241"/>
    <w:rsid w:val="00D66C4B"/>
    <w:rsid w:val="00D70345"/>
    <w:rsid w:val="00D722FC"/>
    <w:rsid w:val="00D76800"/>
    <w:rsid w:val="00D82CBA"/>
    <w:rsid w:val="00D86503"/>
    <w:rsid w:val="00D87DB4"/>
    <w:rsid w:val="00D93148"/>
    <w:rsid w:val="00D93FCD"/>
    <w:rsid w:val="00D955F4"/>
    <w:rsid w:val="00D95F49"/>
    <w:rsid w:val="00DA0116"/>
    <w:rsid w:val="00DA28FA"/>
    <w:rsid w:val="00DA352D"/>
    <w:rsid w:val="00DA4FB0"/>
    <w:rsid w:val="00DA6233"/>
    <w:rsid w:val="00DA6DD3"/>
    <w:rsid w:val="00DA7BF8"/>
    <w:rsid w:val="00DB5D9A"/>
    <w:rsid w:val="00DB73D4"/>
    <w:rsid w:val="00DC3A67"/>
    <w:rsid w:val="00DC558E"/>
    <w:rsid w:val="00DC6C4D"/>
    <w:rsid w:val="00DC7844"/>
    <w:rsid w:val="00DD61DC"/>
    <w:rsid w:val="00DD7650"/>
    <w:rsid w:val="00DE2BB9"/>
    <w:rsid w:val="00DE44E7"/>
    <w:rsid w:val="00DE4C4A"/>
    <w:rsid w:val="00DF3EBA"/>
    <w:rsid w:val="00E006C4"/>
    <w:rsid w:val="00E02446"/>
    <w:rsid w:val="00E05320"/>
    <w:rsid w:val="00E16800"/>
    <w:rsid w:val="00E233C4"/>
    <w:rsid w:val="00E26F40"/>
    <w:rsid w:val="00E272AD"/>
    <w:rsid w:val="00E35416"/>
    <w:rsid w:val="00E41D23"/>
    <w:rsid w:val="00E47E9F"/>
    <w:rsid w:val="00E54216"/>
    <w:rsid w:val="00E55D85"/>
    <w:rsid w:val="00E66867"/>
    <w:rsid w:val="00E73540"/>
    <w:rsid w:val="00E75FC9"/>
    <w:rsid w:val="00E82B5B"/>
    <w:rsid w:val="00E85E9A"/>
    <w:rsid w:val="00E86F6E"/>
    <w:rsid w:val="00E87468"/>
    <w:rsid w:val="00E87CBF"/>
    <w:rsid w:val="00E90B31"/>
    <w:rsid w:val="00E93DAF"/>
    <w:rsid w:val="00EA7A63"/>
    <w:rsid w:val="00EB3B36"/>
    <w:rsid w:val="00EB4009"/>
    <w:rsid w:val="00EB5D93"/>
    <w:rsid w:val="00EB6ED7"/>
    <w:rsid w:val="00EB7BAC"/>
    <w:rsid w:val="00EC10B1"/>
    <w:rsid w:val="00ED4085"/>
    <w:rsid w:val="00ED6654"/>
    <w:rsid w:val="00EE04EC"/>
    <w:rsid w:val="00EE10C8"/>
    <w:rsid w:val="00EE3934"/>
    <w:rsid w:val="00EE4AB4"/>
    <w:rsid w:val="00EE588E"/>
    <w:rsid w:val="00EE5C92"/>
    <w:rsid w:val="00EE72A3"/>
    <w:rsid w:val="00EF1321"/>
    <w:rsid w:val="00EF5501"/>
    <w:rsid w:val="00EF5527"/>
    <w:rsid w:val="00F107DB"/>
    <w:rsid w:val="00F12BF3"/>
    <w:rsid w:val="00F12DD2"/>
    <w:rsid w:val="00F13264"/>
    <w:rsid w:val="00F13743"/>
    <w:rsid w:val="00F154C1"/>
    <w:rsid w:val="00F20100"/>
    <w:rsid w:val="00F3052F"/>
    <w:rsid w:val="00F35BD0"/>
    <w:rsid w:val="00F36170"/>
    <w:rsid w:val="00F43499"/>
    <w:rsid w:val="00F444A9"/>
    <w:rsid w:val="00F5543F"/>
    <w:rsid w:val="00F64236"/>
    <w:rsid w:val="00F65B0F"/>
    <w:rsid w:val="00F709AE"/>
    <w:rsid w:val="00F721D2"/>
    <w:rsid w:val="00F72AB8"/>
    <w:rsid w:val="00F76091"/>
    <w:rsid w:val="00F7631D"/>
    <w:rsid w:val="00F91A3C"/>
    <w:rsid w:val="00F92146"/>
    <w:rsid w:val="00F95857"/>
    <w:rsid w:val="00FA4A39"/>
    <w:rsid w:val="00FA5847"/>
    <w:rsid w:val="00FA6670"/>
    <w:rsid w:val="00FB0C6A"/>
    <w:rsid w:val="00FB2E73"/>
    <w:rsid w:val="00FB53BE"/>
    <w:rsid w:val="00FB579C"/>
    <w:rsid w:val="00FB57A7"/>
    <w:rsid w:val="00FC11BC"/>
    <w:rsid w:val="00FC1D23"/>
    <w:rsid w:val="00FC2CE0"/>
    <w:rsid w:val="00FC3A90"/>
    <w:rsid w:val="00FD01E9"/>
    <w:rsid w:val="00FE2467"/>
    <w:rsid w:val="00FF5308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34751C-1690-4AA4-833D-0466139C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CD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27CD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7CD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41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34164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534164"/>
    <w:rPr>
      <w:vertAlign w:val="superscript"/>
    </w:rPr>
  </w:style>
  <w:style w:type="paragraph" w:styleId="FootnoteText">
    <w:name w:val="footnote text"/>
    <w:aliases w:val="Footnote Text Char Char"/>
    <w:basedOn w:val="Normal"/>
    <w:link w:val="FootnoteTextChar"/>
    <w:uiPriority w:val="99"/>
    <w:unhideWhenUsed/>
    <w:rsid w:val="004867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"/>
    <w:link w:val="FootnoteText"/>
    <w:uiPriority w:val="99"/>
    <w:rsid w:val="0048676E"/>
    <w:rPr>
      <w:sz w:val="20"/>
      <w:szCs w:val="20"/>
    </w:rPr>
  </w:style>
  <w:style w:type="character" w:styleId="FootnoteReference">
    <w:name w:val="footnote reference"/>
    <w:uiPriority w:val="99"/>
    <w:unhideWhenUsed/>
    <w:rsid w:val="0048676E"/>
    <w:rPr>
      <w:vertAlign w:val="superscript"/>
    </w:rPr>
  </w:style>
  <w:style w:type="character" w:styleId="Hyperlink">
    <w:name w:val="Hyperlink"/>
    <w:uiPriority w:val="99"/>
    <w:unhideWhenUsed/>
    <w:rsid w:val="0048676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59EC"/>
  </w:style>
  <w:style w:type="paragraph" w:customStyle="1" w:styleId="bodytext">
    <w:name w:val="bodytext"/>
    <w:basedOn w:val="Normal"/>
    <w:rsid w:val="00426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C1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5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658D"/>
    <w:rPr>
      <w:b/>
      <w:bCs/>
      <w:sz w:val="20"/>
      <w:szCs w:val="20"/>
    </w:rPr>
  </w:style>
  <w:style w:type="paragraph" w:customStyle="1" w:styleId="Default">
    <w:name w:val="Default"/>
    <w:rsid w:val="00A108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en-US"/>
    </w:rPr>
  </w:style>
  <w:style w:type="paragraph" w:styleId="Header">
    <w:name w:val="header"/>
    <w:basedOn w:val="Normal"/>
    <w:link w:val="HeaderChar"/>
    <w:uiPriority w:val="99"/>
    <w:unhideWhenUsed/>
    <w:rsid w:val="00EE3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934"/>
  </w:style>
  <w:style w:type="paragraph" w:styleId="Footer">
    <w:name w:val="footer"/>
    <w:basedOn w:val="Normal"/>
    <w:link w:val="FooterChar"/>
    <w:uiPriority w:val="99"/>
    <w:unhideWhenUsed/>
    <w:rsid w:val="00EE3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934"/>
  </w:style>
  <w:style w:type="character" w:customStyle="1" w:styleId="highlight">
    <w:name w:val="highlight"/>
    <w:basedOn w:val="DefaultParagraphFont"/>
    <w:rsid w:val="00BD0CAB"/>
  </w:style>
  <w:style w:type="table" w:styleId="TableGrid">
    <w:name w:val="Table Grid"/>
    <w:basedOn w:val="TableNormal"/>
    <w:uiPriority w:val="59"/>
    <w:rsid w:val="00964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1A32C2"/>
    <w:rPr>
      <w:color w:val="800080"/>
      <w:u w:val="single"/>
    </w:rPr>
  </w:style>
  <w:style w:type="character" w:customStyle="1" w:styleId="tlid-translation">
    <w:name w:val="tlid-translation"/>
    <w:basedOn w:val="DefaultParagraphFont"/>
    <w:rsid w:val="00DD6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llarmssurvey.org/fileadmin/docs/H-Research_Notes/SAS-Research-Note-25.pdf" TargetMode="External"/><Relationship Id="rId13" Type="http://schemas.openxmlformats.org/officeDocument/2006/relationships/hyperlink" Target="http://www.wcoomd.org/en/about-us/~/media/WCO/Public/Global/PDF/About%20us/WCO%20Members/WCO_Members%20per%20region.ash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allarmssurvey.org/fileadmin/docs/H-Research_Notes/SAS-Research-Note-22.pdf" TargetMode="External"/><Relationship Id="rId12" Type="http://schemas.openxmlformats.org/officeDocument/2006/relationships/hyperlink" Target="http://www.smallarmssurvey.org/fileadmin/docs/H-Research_Notes/SAS-Research-Note-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allarmssurvey.org/fileadmin/docs/H-Research_Notes/SAS-Research-Note-1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mallarmssurvey.org/fileadmin/docs/H-Research_Notes/SAS-Research-Note-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allarmssurvey.org/fileadmin/docs/H-Research_Notes/SAS-Research-Note-5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6056</Words>
  <Characters>34522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40498</CharactersWithSpaces>
  <SharedDoc>false</SharedDoc>
  <HLinks>
    <vt:vector size="42" baseType="variant">
      <vt:variant>
        <vt:i4>5046371</vt:i4>
      </vt:variant>
      <vt:variant>
        <vt:i4>18</vt:i4>
      </vt:variant>
      <vt:variant>
        <vt:i4>0</vt:i4>
      </vt:variant>
      <vt:variant>
        <vt:i4>5</vt:i4>
      </vt:variant>
      <vt:variant>
        <vt:lpwstr>http://www.wcoomd.org/en/about-us/~/media/WCO/Public/Global/PDF/About us/WCO Members/WCO_Members per region.ashx</vt:lpwstr>
      </vt:variant>
      <vt:variant>
        <vt:lpwstr/>
      </vt:variant>
      <vt:variant>
        <vt:i4>3670082</vt:i4>
      </vt:variant>
      <vt:variant>
        <vt:i4>15</vt:i4>
      </vt:variant>
      <vt:variant>
        <vt:i4>0</vt:i4>
      </vt:variant>
      <vt:variant>
        <vt:i4>5</vt:i4>
      </vt:variant>
      <vt:variant>
        <vt:lpwstr>http://www.smallarmssurvey.org/fileadmin/docs/H-Research_Notes/SAS-Research-Note-2.pdf</vt:lpwstr>
      </vt:variant>
      <vt:variant>
        <vt:lpwstr/>
      </vt:variant>
      <vt:variant>
        <vt:i4>3866690</vt:i4>
      </vt:variant>
      <vt:variant>
        <vt:i4>12</vt:i4>
      </vt:variant>
      <vt:variant>
        <vt:i4>0</vt:i4>
      </vt:variant>
      <vt:variant>
        <vt:i4>5</vt:i4>
      </vt:variant>
      <vt:variant>
        <vt:lpwstr>http://www.smallarmssurvey.org/fileadmin/docs/H-Research_Notes/SAS-Research-Note-1.pdf</vt:lpwstr>
      </vt:variant>
      <vt:variant>
        <vt:lpwstr/>
      </vt:variant>
      <vt:variant>
        <vt:i4>6750286</vt:i4>
      </vt:variant>
      <vt:variant>
        <vt:i4>9</vt:i4>
      </vt:variant>
      <vt:variant>
        <vt:i4>0</vt:i4>
      </vt:variant>
      <vt:variant>
        <vt:i4>5</vt:i4>
      </vt:variant>
      <vt:variant>
        <vt:lpwstr>http://www.smallarmssurvey.org/fileadmin/docs/H-Research_Notes/SAS-Research-Note-16.pdf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http://www.smallarmssurvey.org/fileadmin/docs/H-Research_Notes/SAS-Research-Note-5.pdf</vt:lpwstr>
      </vt:variant>
      <vt:variant>
        <vt:lpwstr/>
      </vt:variant>
      <vt:variant>
        <vt:i4>6553677</vt:i4>
      </vt:variant>
      <vt:variant>
        <vt:i4>3</vt:i4>
      </vt:variant>
      <vt:variant>
        <vt:i4>0</vt:i4>
      </vt:variant>
      <vt:variant>
        <vt:i4>5</vt:i4>
      </vt:variant>
      <vt:variant>
        <vt:lpwstr>http://www.smallarmssurvey.org/fileadmin/docs/H-Research_Notes/SAS-Research-Note-25.pdf</vt:lpwstr>
      </vt:variant>
      <vt:variant>
        <vt:lpwstr/>
      </vt:variant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http://www.smallarmssurvey.org/fileadmin/docs/H-Research_Notes/SAS-Research-Note-22.pdf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L. CATHIE</dc:creator>
  <cp:keywords/>
  <cp:lastModifiedBy>rade.stojic</cp:lastModifiedBy>
  <cp:revision>2</cp:revision>
  <dcterms:created xsi:type="dcterms:W3CDTF">2020-09-17T10:51:00Z</dcterms:created>
  <dcterms:modified xsi:type="dcterms:W3CDTF">2020-09-17T10:51:00Z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/>
  </property>
  <property fmtid="{D5CDD505-2E9C-101B-9397-08002B2CF9AE}" pid="4" name="Order">
    <vt:r8>97100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CM">
    <vt:lpwstr/>
  </property>
  <property fmtid="{D5CDD505-2E9C-101B-9397-08002B2CF9AE}" pid="9" name="Document Status">
    <vt:lpwstr>Draft</vt:lpwstr>
  </property>
  <property fmtid="{D5CDD505-2E9C-101B-9397-08002B2CF9AE}" pid="10" name="Deliverable">
    <vt:lpwstr>No</vt:lpwstr>
  </property>
  <property fmtid="{D5CDD505-2E9C-101B-9397-08002B2CF9AE}" pid="11" name="Comments">
    <vt:lpwstr/>
  </property>
  <property fmtid="{D5CDD505-2E9C-101B-9397-08002B2CF9AE}" pid="12" name="TaxCatchAll">
    <vt:lpwstr/>
  </property>
  <property fmtid="{D5CDD505-2E9C-101B-9397-08002B2CF9AE}" pid="13" name="mfa46ff090dd47e589c97dbc7825eb2e">
    <vt:lpwstr/>
  </property>
</Properties>
</file>