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B00F" w14:textId="77777777" w:rsidR="00493C38" w:rsidRPr="006D0A4B" w:rsidRDefault="00493C38" w:rsidP="00493C38">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b/>
          <w:bCs/>
          <w:sz w:val="24"/>
          <w:szCs w:val="24"/>
          <w:u w:val="single"/>
        </w:rPr>
        <w:t>Terminologija u oblasti odbrane</w:t>
      </w:r>
    </w:p>
    <w:p w14:paraId="7455E193" w14:textId="77777777" w:rsidR="00493C38" w:rsidRPr="006D0A4B" w:rsidRDefault="00493C38" w:rsidP="00493C38">
      <w:pPr>
        <w:autoSpaceDE w:val="0"/>
        <w:autoSpaceDN w:val="0"/>
        <w:adjustRightInd w:val="0"/>
        <w:spacing w:after="0" w:line="240" w:lineRule="auto"/>
        <w:rPr>
          <w:rFonts w:ascii="Times New Roman" w:hAnsi="Times New Roman" w:cs="Times New Roman"/>
          <w:b/>
          <w:bCs/>
          <w:sz w:val="24"/>
          <w:szCs w:val="24"/>
        </w:rPr>
      </w:pPr>
    </w:p>
    <w:tbl>
      <w:tblPr>
        <w:tblStyle w:val="TableGrid"/>
        <w:tblW w:w="9738" w:type="dxa"/>
        <w:tblLook w:val="04A0" w:firstRow="1" w:lastRow="0" w:firstColumn="1" w:lastColumn="0" w:noHBand="0" w:noVBand="1"/>
      </w:tblPr>
      <w:tblGrid>
        <w:gridCol w:w="1896"/>
        <w:gridCol w:w="7842"/>
      </w:tblGrid>
      <w:tr w:rsidR="00493C38" w:rsidRPr="00642762" w14:paraId="1F1D2E95" w14:textId="77777777" w:rsidTr="00D90FAB">
        <w:trPr>
          <w:trHeight w:val="332"/>
        </w:trPr>
        <w:tc>
          <w:tcPr>
            <w:tcW w:w="1896" w:type="dxa"/>
            <w:shd w:val="clear" w:color="auto" w:fill="4F81BD" w:themeFill="accent1"/>
            <w:vAlign w:val="center"/>
          </w:tcPr>
          <w:p w14:paraId="1DBBB21A" w14:textId="77777777" w:rsidR="00493C38" w:rsidRPr="00642762" w:rsidRDefault="00493C38" w:rsidP="00D90FAB">
            <w:pPr>
              <w:autoSpaceDE w:val="0"/>
              <w:autoSpaceDN w:val="0"/>
              <w:adjustRightInd w:val="0"/>
              <w:spacing w:line="276" w:lineRule="auto"/>
              <w:jc w:val="center"/>
              <w:rPr>
                <w:rFonts w:ascii="Times New Roman" w:hAnsi="Times New Roman" w:cs="Times New Roman"/>
                <w:b/>
                <w:color w:val="FFFFFF" w:themeColor="background1"/>
                <w:u w:val="single"/>
              </w:rPr>
            </w:pPr>
            <w:r>
              <w:rPr>
                <w:rFonts w:ascii="Times New Roman" w:hAnsi="Times New Roman"/>
                <w:b/>
                <w:color w:val="FFFFFF" w:themeColor="background1"/>
                <w:u w:val="single"/>
              </w:rPr>
              <w:t>Termin</w:t>
            </w:r>
          </w:p>
        </w:tc>
        <w:tc>
          <w:tcPr>
            <w:tcW w:w="7842" w:type="dxa"/>
            <w:shd w:val="clear" w:color="auto" w:fill="4F81BD" w:themeFill="accent1"/>
            <w:vAlign w:val="center"/>
          </w:tcPr>
          <w:p w14:paraId="44AC3FED" w14:textId="77777777" w:rsidR="00493C38" w:rsidRPr="00642762" w:rsidRDefault="00493C38" w:rsidP="00D90FAB">
            <w:pPr>
              <w:autoSpaceDE w:val="0"/>
              <w:autoSpaceDN w:val="0"/>
              <w:adjustRightInd w:val="0"/>
              <w:spacing w:line="276" w:lineRule="auto"/>
              <w:jc w:val="center"/>
              <w:rPr>
                <w:rFonts w:ascii="Times New Roman" w:hAnsi="Times New Roman" w:cs="Times New Roman"/>
                <w:b/>
                <w:color w:val="FFFFFF" w:themeColor="background1"/>
                <w:u w:val="single"/>
              </w:rPr>
            </w:pPr>
            <w:r>
              <w:rPr>
                <w:rFonts w:ascii="Times New Roman" w:hAnsi="Times New Roman"/>
                <w:b/>
                <w:color w:val="FFFFFF" w:themeColor="background1"/>
                <w:u w:val="single"/>
              </w:rPr>
              <w:t>Definicija</w:t>
            </w:r>
          </w:p>
        </w:tc>
      </w:tr>
      <w:tr w:rsidR="00493C38" w:rsidRPr="00642762" w14:paraId="70662AFB" w14:textId="77777777" w:rsidTr="00D90FAB">
        <w:tc>
          <w:tcPr>
            <w:tcW w:w="1896" w:type="dxa"/>
          </w:tcPr>
          <w:p w14:paraId="3D90C88B" w14:textId="77777777" w:rsidR="00493C38" w:rsidRPr="007E5E18" w:rsidRDefault="00493C38" w:rsidP="00D90FAB">
            <w:pPr>
              <w:autoSpaceDE w:val="0"/>
              <w:autoSpaceDN w:val="0"/>
              <w:adjustRightInd w:val="0"/>
              <w:spacing w:line="276" w:lineRule="auto"/>
              <w:rPr>
                <w:rFonts w:ascii="Times New Roman" w:hAnsi="Times New Roman" w:cs="Times New Roman"/>
                <w:b/>
                <w:sz w:val="20"/>
                <w:szCs w:val="20"/>
              </w:rPr>
            </w:pPr>
            <w:bookmarkStart w:id="0" w:name="_GoBack"/>
            <w:r w:rsidRPr="007E5E18">
              <w:rPr>
                <w:rFonts w:ascii="Times New Roman" w:hAnsi="Times New Roman"/>
                <w:b/>
                <w:sz w:val="20"/>
                <w:szCs w:val="20"/>
              </w:rPr>
              <w:t xml:space="preserve">Municija  </w:t>
            </w:r>
            <w:bookmarkEnd w:id="0"/>
          </w:p>
        </w:tc>
        <w:tc>
          <w:tcPr>
            <w:tcW w:w="7842" w:type="dxa"/>
          </w:tcPr>
          <w:p w14:paraId="766A6219"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Sve supstance i predmeti koji mogu imati eksplozivna svojstva, uključujući: a) eksplozivne supstance i pirotehniške smeše; b) predmete koji sadrže eksplozive;</w:t>
            </w:r>
            <w:r w:rsidRPr="00C23CD2">
              <w:rPr>
                <w:rStyle w:val="EndnoteReference"/>
                <w:rFonts w:ascii="Times New Roman" w:hAnsi="Times New Roman" w:cs="Times New Roman"/>
                <w:sz w:val="20"/>
                <w:szCs w:val="20"/>
              </w:rPr>
              <w:endnoteReference w:id="1"/>
            </w:r>
            <w:r>
              <w:rPr>
                <w:rFonts w:ascii="Times New Roman" w:hAnsi="Times New Roman"/>
                <w:sz w:val="20"/>
                <w:szCs w:val="20"/>
              </w:rPr>
              <w:t xml:space="preserve"> c) agense i predmete koji nisu navedeni pod a) ili b), a koji su proizvedeni kako bi postigli praktični efekat putem eksplozije ili pirotehnički efekat; i d) agense i supstance koje proizvode dim. Ova definicija obuhvata konvencionalnu municiju, eksplozivne materijale i uređaje za detonaciju kopnenih, vazdušnih i mornaričkih oružanih sistema.</w:t>
            </w:r>
            <w:r w:rsidRPr="00C23CD2">
              <w:rPr>
                <w:rStyle w:val="EndnoteReference"/>
                <w:rFonts w:ascii="Times New Roman" w:hAnsi="Times New Roman" w:cs="Times New Roman"/>
                <w:sz w:val="20"/>
                <w:szCs w:val="20"/>
              </w:rPr>
              <w:endnoteReference w:id="2"/>
            </w:r>
            <w:r>
              <w:rPr>
                <w:rFonts w:ascii="Times New Roman" w:hAnsi="Times New Roman"/>
                <w:sz w:val="20"/>
                <w:szCs w:val="20"/>
              </w:rPr>
              <w:t xml:space="preserve"> Municija i eksplozivi obuhvataju čaure (metke) malokalibarskog oružja, granate i projektile lakog oružja, mobilne kontejnere sa projektilima i zrnima za jednokratno dejstvo, protivvazdušne i protivtenkovske sisteme, protivpešadijske i protivtenkovske granate, nagazne mine i eksplozive.</w:t>
            </w:r>
            <w:r w:rsidRPr="00C23CD2">
              <w:rPr>
                <w:rStyle w:val="EndnoteReference"/>
                <w:rFonts w:ascii="Times New Roman" w:hAnsi="Times New Roman" w:cs="Times New Roman"/>
                <w:sz w:val="20"/>
                <w:szCs w:val="20"/>
              </w:rPr>
              <w:endnoteReference w:id="3"/>
            </w:r>
            <w:r>
              <w:rPr>
                <w:rFonts w:ascii="Times New Roman" w:hAnsi="Times New Roman"/>
                <w:sz w:val="20"/>
                <w:szCs w:val="20"/>
              </w:rPr>
              <w:t xml:space="preserve"> </w:t>
            </w:r>
          </w:p>
          <w:p w14:paraId="6A423E9C" w14:textId="77777777" w:rsidR="00493C38" w:rsidRPr="00C23CD2" w:rsidRDefault="00493C38" w:rsidP="00D90FAB">
            <w:pPr>
              <w:jc w:val="both"/>
              <w:rPr>
                <w:rFonts w:ascii="Times New Roman" w:hAnsi="Times New Roman" w:cs="Times New Roman"/>
                <w:sz w:val="20"/>
                <w:szCs w:val="20"/>
              </w:rPr>
            </w:pPr>
          </w:p>
          <w:p w14:paraId="0A68C54F"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U kontekstu vatrenog oružja, municijom se smatra kompletan metak ili njegove komponente, uključujući čaure, kapisle, barutno punjenje, zrna i projektile, koji se koristi u vatrenom oružju.</w:t>
            </w:r>
            <w:r w:rsidRPr="00C23CD2">
              <w:rPr>
                <w:rStyle w:val="EndnoteReference"/>
                <w:rFonts w:ascii="Times New Roman" w:hAnsi="Times New Roman" w:cs="Times New Roman"/>
                <w:sz w:val="20"/>
                <w:szCs w:val="20"/>
              </w:rPr>
              <w:endnoteReference w:id="4"/>
            </w:r>
          </w:p>
        </w:tc>
      </w:tr>
      <w:tr w:rsidR="00493C38" w:rsidRPr="00642762" w14:paraId="0766E623" w14:textId="77777777" w:rsidTr="00D90FAB">
        <w:tc>
          <w:tcPr>
            <w:tcW w:w="1896" w:type="dxa"/>
          </w:tcPr>
          <w:p w14:paraId="1A8BE3BC" w14:textId="77777777" w:rsidR="00493C38" w:rsidRPr="00C23CD2" w:rsidRDefault="00493C38" w:rsidP="00D90FAB">
            <w:pPr>
              <w:autoSpaceDE w:val="0"/>
              <w:autoSpaceDN w:val="0"/>
              <w:adjustRightInd w:val="0"/>
              <w:spacing w:line="276" w:lineRule="auto"/>
              <w:rPr>
                <w:rFonts w:ascii="Times New Roman" w:hAnsi="Times New Roman" w:cs="Times New Roman"/>
                <w:b/>
                <w:sz w:val="20"/>
                <w:szCs w:val="20"/>
              </w:rPr>
            </w:pPr>
            <w:r>
              <w:rPr>
                <w:rFonts w:ascii="Times New Roman" w:hAnsi="Times New Roman"/>
                <w:b/>
                <w:sz w:val="20"/>
                <w:szCs w:val="20"/>
              </w:rPr>
              <w:t>Naoružanje</w:t>
            </w:r>
          </w:p>
        </w:tc>
        <w:tc>
          <w:tcPr>
            <w:tcW w:w="7842" w:type="dxa"/>
          </w:tcPr>
          <w:p w14:paraId="03AC6337"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Sve vrste ubojnih sredstava, vojne opreme, podkomponenata i lansirnih sistema (sistema za dostavu), uključujući borbene tenkove, oklopna borbena vozila, vojne avione, artiljerijske sisteme, vojne helikoptere, projektile, paravojnu policijsku opremu, minobacače, mitraljeze i automatske puške, puške, pištolje, protivtenkovsko oružje, mine, granate, kasetne bombe i sve vrste municije.</w:t>
            </w:r>
          </w:p>
        </w:tc>
      </w:tr>
      <w:tr w:rsidR="00493C38" w:rsidRPr="00642762" w14:paraId="0EFC779A" w14:textId="77777777" w:rsidTr="00D90FAB">
        <w:tc>
          <w:tcPr>
            <w:tcW w:w="1896" w:type="dxa"/>
          </w:tcPr>
          <w:p w14:paraId="11978630"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Broker, posrednik u trgovini oružjem</w:t>
            </w:r>
          </w:p>
        </w:tc>
        <w:tc>
          <w:tcPr>
            <w:tcW w:w="7842" w:type="dxa"/>
          </w:tcPr>
          <w:p w14:paraId="7D039F20"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shd w:val="clear" w:color="auto" w:fill="FFFFFF"/>
              </w:rPr>
              <w:t>Ujedinjene nacije (UN) definišu posrednika u trgovini oružjem kao: „Fizičko ili pravno lice koje postupa u svojstvu posrednika i povezuje relevantne strane i dogovara ili olakšava potencijalnu transakciju [naoružanja] u zamenu za neki oblik koristi, bilo finansijske ili neki druge.“</w:t>
            </w:r>
            <w:r w:rsidRPr="00C23CD2">
              <w:rPr>
                <w:rStyle w:val="EndnoteReference"/>
                <w:rFonts w:ascii="Times New Roman" w:hAnsi="Times New Roman" w:cs="Times New Roman"/>
                <w:sz w:val="20"/>
                <w:szCs w:val="20"/>
                <w:shd w:val="clear" w:color="auto" w:fill="FFFFFF"/>
              </w:rPr>
              <w:endnoteReference w:id="5"/>
            </w:r>
            <w:r>
              <w:rPr>
                <w:rFonts w:ascii="Times New Roman" w:hAnsi="Times New Roman"/>
                <w:sz w:val="20"/>
                <w:szCs w:val="20"/>
              </w:rPr>
              <w:t xml:space="preserve"> Arms brokers negotiate, arrange for, or otherwise facilitate the transfer of arms by bringing together buyers, sellers, transporters, financiers, and/or insurers to make a deal for some form of compensation or financial reward.</w:t>
            </w:r>
            <w:r w:rsidRPr="00C23CD2">
              <w:rPr>
                <w:rStyle w:val="EndnoteReference"/>
                <w:rFonts w:ascii="Times New Roman" w:hAnsi="Times New Roman" w:cs="Times New Roman"/>
                <w:sz w:val="20"/>
                <w:szCs w:val="20"/>
              </w:rPr>
              <w:endnoteReference w:id="6"/>
            </w:r>
          </w:p>
        </w:tc>
      </w:tr>
      <w:tr w:rsidR="00493C38" w:rsidRPr="00642762" w14:paraId="05E59308" w14:textId="77777777" w:rsidTr="00D90FAB">
        <w:tc>
          <w:tcPr>
            <w:tcW w:w="1896" w:type="dxa"/>
          </w:tcPr>
          <w:p w14:paraId="068514DB"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Posredovanje u trgovini oružjem</w:t>
            </w:r>
            <w:r>
              <w:rPr>
                <w:rFonts w:ascii="Times New Roman" w:hAnsi="Times New Roman"/>
                <w:sz w:val="20"/>
                <w:szCs w:val="20"/>
              </w:rPr>
              <w:t xml:space="preserve">  </w:t>
            </w:r>
          </w:p>
        </w:tc>
        <w:tc>
          <w:tcPr>
            <w:tcW w:w="7842" w:type="dxa"/>
          </w:tcPr>
          <w:p w14:paraId="3A7DDB18"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 xml:space="preserve">Aktivnosti koje se obavljaju za proviziju, korist ili cilj, bilo finansijski ili neki drugi, uključujući politički ili lični račun, od strane fizičkih lica ili privrednih subjekata i koje uključuju jednu ili više sledećih aktivnosti: </w:t>
            </w:r>
          </w:p>
          <w:p w14:paraId="094AF0C7" w14:textId="77777777" w:rsidR="00493C38" w:rsidRPr="00C23CD2" w:rsidRDefault="00493C38" w:rsidP="00D90FAB">
            <w:pPr>
              <w:pStyle w:val="ListParagraph"/>
              <w:numPr>
                <w:ilvl w:val="0"/>
                <w:numId w:val="4"/>
              </w:numPr>
              <w:ind w:left="704"/>
              <w:jc w:val="both"/>
              <w:rPr>
                <w:rFonts w:ascii="Times New Roman" w:hAnsi="Times New Roman" w:cs="Times New Roman"/>
                <w:sz w:val="20"/>
                <w:szCs w:val="20"/>
              </w:rPr>
            </w:pPr>
            <w:r>
              <w:rPr>
                <w:rFonts w:ascii="Times New Roman" w:hAnsi="Times New Roman"/>
                <w:i/>
                <w:sz w:val="20"/>
                <w:szCs w:val="20"/>
              </w:rPr>
              <w:t xml:space="preserve">Postupanje u svojstvu posrednika u pregovaranju ili dogovaranju transakcije (posla) koja obuhvata oružje između nekog dobavljača ili pružaoca srodnih usluga i nekog kupca ili primaoca, </w:t>
            </w:r>
            <w:r>
              <w:rPr>
                <w:rFonts w:ascii="Times New Roman" w:hAnsi="Times New Roman"/>
                <w:sz w:val="20"/>
                <w:szCs w:val="20"/>
              </w:rPr>
              <w:t xml:space="preserve">poput </w:t>
            </w:r>
          </w:p>
          <w:p w14:paraId="1B03B998"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Pr>
                <w:rFonts w:ascii="Times New Roman" w:hAnsi="Times New Roman"/>
                <w:sz w:val="20"/>
                <w:szCs w:val="20"/>
              </w:rPr>
              <w:t xml:space="preserve">dovođenje kupaca i prodavaca u kontakt; </w:t>
            </w:r>
          </w:p>
          <w:p w14:paraId="78F3B1A4"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Pr>
                <w:rFonts w:ascii="Times New Roman" w:hAnsi="Times New Roman"/>
                <w:sz w:val="20"/>
                <w:szCs w:val="20"/>
              </w:rPr>
              <w:t xml:space="preserve">pronalaženje i ponuda poslovnih prilika kupcu i prodavcu; i </w:t>
            </w:r>
          </w:p>
          <w:p w14:paraId="37F2CDF9"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Pr>
                <w:rFonts w:ascii="Times New Roman" w:hAnsi="Times New Roman"/>
                <w:sz w:val="20"/>
                <w:szCs w:val="20"/>
              </w:rPr>
              <w:t>pružanje detaljnih informacija ili praktične pomoći u realizaciji ili zaključenju transakcije;</w:t>
            </w:r>
          </w:p>
          <w:p w14:paraId="78D4AAC9" w14:textId="77777777" w:rsidR="00493C38" w:rsidRPr="00C23CD2" w:rsidRDefault="00493C38" w:rsidP="00D90FAB">
            <w:pPr>
              <w:pStyle w:val="ListParagraph"/>
              <w:numPr>
                <w:ilvl w:val="0"/>
                <w:numId w:val="4"/>
              </w:numPr>
              <w:ind w:left="704"/>
              <w:contextualSpacing w:val="0"/>
              <w:jc w:val="both"/>
              <w:rPr>
                <w:rFonts w:ascii="Times New Roman" w:hAnsi="Times New Roman" w:cs="Times New Roman"/>
                <w:sz w:val="20"/>
                <w:szCs w:val="20"/>
              </w:rPr>
            </w:pPr>
            <w:r>
              <w:rPr>
                <w:rFonts w:ascii="Times New Roman" w:hAnsi="Times New Roman"/>
                <w:i/>
                <w:sz w:val="20"/>
                <w:szCs w:val="20"/>
              </w:rPr>
              <w:t xml:space="preserve">Dogovaranje ugovora i pribavljanje neophodnih dokumenata i/ili dozvola u ime drugih za obavljanje transakcije trgovine oružjem, </w:t>
            </w:r>
            <w:r>
              <w:rPr>
                <w:rFonts w:ascii="Times New Roman" w:hAnsi="Times New Roman"/>
                <w:sz w:val="20"/>
                <w:szCs w:val="20"/>
              </w:rPr>
              <w:t>što može da obuhvata:</w:t>
            </w:r>
          </w:p>
          <w:p w14:paraId="11A8DF5A" w14:textId="77777777" w:rsidR="00493C38" w:rsidRPr="00C23CD2" w:rsidRDefault="00493C38" w:rsidP="00D90FAB">
            <w:pPr>
              <w:pStyle w:val="ListParagraph"/>
              <w:numPr>
                <w:ilvl w:val="0"/>
                <w:numId w:val="6"/>
              </w:numPr>
              <w:ind w:left="1152"/>
              <w:contextualSpacing w:val="0"/>
              <w:jc w:val="both"/>
              <w:rPr>
                <w:rFonts w:ascii="Times New Roman" w:hAnsi="Times New Roman" w:cs="Times New Roman"/>
                <w:sz w:val="20"/>
                <w:szCs w:val="20"/>
              </w:rPr>
            </w:pPr>
            <w:r>
              <w:rPr>
                <w:rFonts w:ascii="Times New Roman" w:hAnsi="Times New Roman"/>
                <w:sz w:val="20"/>
                <w:szCs w:val="20"/>
              </w:rPr>
              <w:t xml:space="preserve">predlaganje, osmišljavanje ili olakšanje prenosa ugovora između kupca, prodavca i pružalaca usluga; </w:t>
            </w:r>
          </w:p>
          <w:p w14:paraId="168D3C9D" w14:textId="77777777" w:rsidR="00493C38" w:rsidRPr="00C23CD2" w:rsidRDefault="00493C38" w:rsidP="00D90FAB">
            <w:pPr>
              <w:pStyle w:val="ListParagraph"/>
              <w:numPr>
                <w:ilvl w:val="0"/>
                <w:numId w:val="6"/>
              </w:numPr>
              <w:ind w:left="1152"/>
              <w:contextualSpacing w:val="0"/>
              <w:jc w:val="both"/>
              <w:rPr>
                <w:rFonts w:ascii="Times New Roman" w:hAnsi="Times New Roman" w:cs="Times New Roman"/>
                <w:sz w:val="20"/>
                <w:szCs w:val="20"/>
              </w:rPr>
            </w:pPr>
            <w:r>
              <w:rPr>
                <w:rFonts w:ascii="Times New Roman" w:hAnsi="Times New Roman"/>
                <w:sz w:val="20"/>
                <w:szCs w:val="20"/>
              </w:rPr>
              <w:t xml:space="preserve">osiguranje razmene druge neophodne komercijalne, uvozne, izvozne, carinske i/ili dokumentacije o krajnjoj nameni i plaćanja između strana u transakciji i nadležnih državnih organa; </w:t>
            </w:r>
          </w:p>
          <w:p w14:paraId="435B205C" w14:textId="77777777" w:rsidR="00493C38" w:rsidRPr="00C23CD2" w:rsidRDefault="00493C38" w:rsidP="00D90FAB">
            <w:pPr>
              <w:pStyle w:val="ListParagraph"/>
              <w:numPr>
                <w:ilvl w:val="0"/>
                <w:numId w:val="4"/>
              </w:numPr>
              <w:ind w:hanging="376"/>
              <w:contextualSpacing w:val="0"/>
              <w:jc w:val="both"/>
              <w:rPr>
                <w:rFonts w:ascii="Times New Roman" w:hAnsi="Times New Roman" w:cs="Times New Roman"/>
                <w:sz w:val="20"/>
                <w:szCs w:val="20"/>
              </w:rPr>
            </w:pPr>
            <w:r>
              <w:rPr>
                <w:rFonts w:ascii="Times New Roman" w:hAnsi="Times New Roman"/>
                <w:i/>
                <w:sz w:val="20"/>
                <w:szCs w:val="20"/>
              </w:rPr>
              <w:t xml:space="preserve">Organizovanje, pregovaranje ili olakšavanje ključnih usluga za završetak transakcije trgovine oružjem, </w:t>
            </w:r>
            <w:r>
              <w:rPr>
                <w:rFonts w:ascii="Times New Roman" w:hAnsi="Times New Roman"/>
                <w:sz w:val="20"/>
                <w:szCs w:val="20"/>
              </w:rPr>
              <w:t xml:space="preserve">kao što su tehničko savetovanje, prevoz, špedicija, skladištenje, logistika, finansiranje ili osiguranje;  </w:t>
            </w:r>
          </w:p>
          <w:p w14:paraId="19F554A6" w14:textId="77777777" w:rsidR="00493C38" w:rsidRPr="00C23CD2" w:rsidRDefault="00493C38" w:rsidP="00D90FAB">
            <w:pPr>
              <w:pStyle w:val="ListParagraph"/>
              <w:numPr>
                <w:ilvl w:val="0"/>
                <w:numId w:val="4"/>
              </w:numPr>
              <w:ind w:hanging="376"/>
              <w:contextualSpacing w:val="0"/>
              <w:jc w:val="both"/>
              <w:rPr>
                <w:rFonts w:ascii="Times New Roman" w:hAnsi="Times New Roman" w:cs="Times New Roman"/>
                <w:sz w:val="20"/>
                <w:szCs w:val="20"/>
              </w:rPr>
            </w:pPr>
            <w:r>
              <w:rPr>
                <w:rFonts w:ascii="Times New Roman" w:hAnsi="Times New Roman"/>
                <w:i/>
                <w:sz w:val="20"/>
                <w:szCs w:val="20"/>
              </w:rPr>
              <w:t>Postupanje u svojstvu agenta ili zastupnika za kupce, prodavce ili brokere</w:t>
            </w:r>
            <w:r>
              <w:rPr>
                <w:rFonts w:ascii="Times New Roman" w:hAnsi="Times New Roman"/>
                <w:sz w:val="20"/>
                <w:szCs w:val="20"/>
              </w:rPr>
              <w:t xml:space="preserve"> u pregovaranju, realizaciji ili zaključivanju transakcije trgovine oružjem.</w:t>
            </w:r>
            <w:r w:rsidRPr="00C23CD2">
              <w:rPr>
                <w:rStyle w:val="EndnoteReference"/>
                <w:rFonts w:ascii="Times New Roman" w:hAnsi="Times New Roman" w:cs="Times New Roman"/>
                <w:sz w:val="20"/>
                <w:szCs w:val="20"/>
              </w:rPr>
              <w:endnoteReference w:id="7"/>
            </w:r>
            <w:r>
              <w:rPr>
                <w:rFonts w:ascii="Times New Roman" w:hAnsi="Times New Roman"/>
                <w:sz w:val="20"/>
                <w:szCs w:val="20"/>
              </w:rPr>
              <w:t xml:space="preserve"> </w:t>
            </w:r>
          </w:p>
          <w:p w14:paraId="73BD1501" w14:textId="77777777" w:rsidR="00493C38" w:rsidRPr="00C23CD2" w:rsidRDefault="00493C38" w:rsidP="00D90FAB">
            <w:pPr>
              <w:jc w:val="both"/>
              <w:rPr>
                <w:rFonts w:ascii="Times New Roman" w:hAnsi="Times New Roman" w:cs="Times New Roman"/>
                <w:sz w:val="20"/>
                <w:szCs w:val="20"/>
              </w:rPr>
            </w:pPr>
          </w:p>
          <w:p w14:paraId="37DBCA1D"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u w:val="single"/>
              </w:rPr>
              <w:t>Napomena:</w:t>
            </w:r>
            <w:r>
              <w:rPr>
                <w:rFonts w:ascii="Times New Roman" w:hAnsi="Times New Roman"/>
                <w:sz w:val="20"/>
                <w:szCs w:val="20"/>
              </w:rPr>
              <w:t xml:space="preserve"> </w:t>
            </w:r>
            <w:r>
              <w:rPr>
                <w:rFonts w:ascii="Times New Roman" w:hAnsi="Times New Roman"/>
                <w:i/>
                <w:sz w:val="20"/>
                <w:szCs w:val="20"/>
              </w:rPr>
              <w:t xml:space="preserve">Postoje brojne međunarodno priznate definicije „posredovanja u trgovini oružjem“ i „aktivnosti posredovanja u trgovini oružjem“. Većina međunarodnih definicija, kao što je ona Organizacije za evropsku bezbednost i saradnju (OEBS) i Zajedničkog stava Evropske unije (UN) o posredovanju u trgovini oružjem, obuhvataju pregovaranje ili dogovaranje transakcija ili trgovinu (kupovinu i prodaju) bez obzira na to da li fizičko ili </w:t>
            </w:r>
            <w:r>
              <w:rPr>
                <w:rFonts w:ascii="Times New Roman" w:hAnsi="Times New Roman"/>
                <w:i/>
                <w:sz w:val="20"/>
                <w:szCs w:val="20"/>
              </w:rPr>
              <w:lastRenderedPageBreak/>
              <w:t>pravno lice koje to radi postupa u svojstvu posrednika.</w:t>
            </w:r>
            <w:r w:rsidRPr="00C23CD2">
              <w:rPr>
                <w:rStyle w:val="EndnoteReference"/>
                <w:rFonts w:ascii="Times New Roman" w:hAnsi="Times New Roman" w:cs="Times New Roman"/>
                <w:sz w:val="20"/>
                <w:szCs w:val="20"/>
              </w:rPr>
              <w:endnoteReference w:id="8"/>
            </w:r>
            <w:r>
              <w:rPr>
                <w:rFonts w:ascii="Times New Roman" w:hAnsi="Times New Roman"/>
                <w:i/>
                <w:sz w:val="20"/>
                <w:szCs w:val="20"/>
              </w:rPr>
              <w:t xml:space="preserve"> Šira definicija „aktivnosti posredovanja u trgovini oružjem“ odražava realnost poslovanja u posredovanju u trgovini oružjem i uzima u obzir različite usluge koje posrednici u trgovini oružjem mogu da pruže.</w:t>
            </w:r>
            <w:r w:rsidRPr="00C23CD2">
              <w:rPr>
                <w:rStyle w:val="EndnoteReference"/>
                <w:rFonts w:ascii="Times New Roman" w:hAnsi="Times New Roman" w:cs="Times New Roman"/>
                <w:sz w:val="20"/>
                <w:szCs w:val="20"/>
              </w:rPr>
              <w:endnoteReference w:id="9"/>
            </w:r>
            <w:r>
              <w:rPr>
                <w:rFonts w:ascii="Times New Roman" w:hAnsi="Times New Roman"/>
                <w:i/>
                <w:sz w:val="20"/>
                <w:szCs w:val="20"/>
              </w:rPr>
              <w:t xml:space="preserve"> Svest o ovim aktivnostima, kao i njihovo regulisanje, važni su elementi sveobuhvatnih i efektivnih kontrola posredovanja u trgovini oružjem i borbi protiv nezakonitog prenosa oružja.</w:t>
            </w:r>
          </w:p>
        </w:tc>
      </w:tr>
      <w:tr w:rsidR="00493C38" w:rsidRPr="00642762" w14:paraId="5F567DD3" w14:textId="77777777" w:rsidTr="00D90FAB">
        <w:tc>
          <w:tcPr>
            <w:tcW w:w="1896" w:type="dxa"/>
          </w:tcPr>
          <w:p w14:paraId="53463AE0"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lastRenderedPageBreak/>
              <w:t>Trgovac oružjem</w:t>
            </w:r>
          </w:p>
        </w:tc>
        <w:tc>
          <w:tcPr>
            <w:tcW w:w="7842" w:type="dxa"/>
          </w:tcPr>
          <w:p w14:paraId="484D7A37"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Fizičko ili pravno lice koje kupuje oružje u svrhu preprodaje ili prodaje oružje koje je već u njegovom vlasništvu.</w:t>
            </w:r>
            <w:r w:rsidRPr="00C23CD2">
              <w:rPr>
                <w:rStyle w:val="EndnoteReference"/>
                <w:rFonts w:ascii="Times New Roman" w:hAnsi="Times New Roman" w:cs="Times New Roman"/>
                <w:sz w:val="20"/>
                <w:szCs w:val="20"/>
              </w:rPr>
              <w:endnoteReference w:id="10"/>
            </w:r>
          </w:p>
        </w:tc>
      </w:tr>
      <w:tr w:rsidR="00493C38" w:rsidRPr="00642762" w14:paraId="5775EC70" w14:textId="77777777" w:rsidTr="00D90FAB">
        <w:tc>
          <w:tcPr>
            <w:tcW w:w="1896" w:type="dxa"/>
          </w:tcPr>
          <w:p w14:paraId="1425EC6F"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Embargo na oružje</w:t>
            </w:r>
          </w:p>
        </w:tc>
        <w:tc>
          <w:tcPr>
            <w:tcW w:w="7842" w:type="dxa"/>
          </w:tcPr>
          <w:p w14:paraId="0DEC1D91"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Nacionalne, međunarodne ili regionalne politike za sprečavanje direktne ili indirektne isporuke, prodaje ili transfera naoružanja i srodnih borbeno-tehničkih sredstava svih vrsta, pomoći ili obuke u vezi sa vojnim aktivnostima zemljama, teritorijama, pojedincima i grupama na koje se primenjuju ograničenja, kao i preduzećima i subjektima sa njihovih teritorija ili od strane njihovih državljana van njihovih teritorija, ili korišćenjem njihovih plovila ili vazduhoplova.</w:t>
            </w:r>
            <w:r w:rsidRPr="00C23CD2">
              <w:rPr>
                <w:rStyle w:val="EndnoteReference"/>
                <w:rFonts w:ascii="Times New Roman" w:hAnsi="Times New Roman" w:cs="Times New Roman"/>
                <w:sz w:val="20"/>
                <w:szCs w:val="20"/>
              </w:rPr>
              <w:endnoteReference w:id="11"/>
            </w:r>
            <w:r>
              <w:rPr>
                <w:rFonts w:ascii="Times New Roman" w:hAnsi="Times New Roman"/>
                <w:sz w:val="20"/>
                <w:szCs w:val="20"/>
              </w:rPr>
              <w:t xml:space="preserve">  </w:t>
            </w:r>
          </w:p>
          <w:p w14:paraId="363702D7" w14:textId="77777777" w:rsidR="00493C38" w:rsidRPr="00C23CD2" w:rsidRDefault="00493C38" w:rsidP="00D90FAB">
            <w:pPr>
              <w:jc w:val="both"/>
              <w:rPr>
                <w:rFonts w:ascii="Times New Roman" w:hAnsi="Times New Roman" w:cs="Times New Roman"/>
                <w:sz w:val="20"/>
                <w:szCs w:val="20"/>
              </w:rPr>
            </w:pPr>
          </w:p>
          <w:p w14:paraId="7774D0A9" w14:textId="77777777" w:rsidR="00493C38" w:rsidRPr="00C23CD2" w:rsidRDefault="00493C38" w:rsidP="00D90FAB">
            <w:pPr>
              <w:jc w:val="both"/>
              <w:rPr>
                <w:rFonts w:ascii="Times New Roman" w:hAnsi="Times New Roman" w:cs="Times New Roman"/>
                <w:sz w:val="20"/>
                <w:szCs w:val="20"/>
              </w:rPr>
            </w:pPr>
            <w:r>
              <w:rPr>
                <w:rFonts w:ascii="Times New Roman" w:hAnsi="Times New Roman"/>
                <w:b/>
                <w:sz w:val="20"/>
                <w:szCs w:val="20"/>
              </w:rPr>
              <w:t>Embargo UN</w:t>
            </w:r>
            <w:r>
              <w:rPr>
                <w:rFonts w:ascii="Times New Roman" w:hAnsi="Times New Roman"/>
                <w:sz w:val="20"/>
                <w:szCs w:val="20"/>
              </w:rPr>
              <w:t xml:space="preserve"> sastoji se od mera koje mogu da obuhvataju potpun ili delimičan prekid ekonomskih odnosa i železničkog, morskog, vazdušnog, poštanskog, telegrafskog saobraćaja i radijske i drugih sredstava komunikacije, kao i prekid diplomatskih odnosa koji je obavezujući za sve države članice UN u skladu sa Poglavljem VII.</w:t>
            </w:r>
            <w:r w:rsidRPr="00C23CD2">
              <w:rPr>
                <w:rStyle w:val="EndnoteReference"/>
                <w:rFonts w:ascii="Times New Roman" w:hAnsi="Times New Roman" w:cs="Times New Roman"/>
                <w:sz w:val="20"/>
                <w:szCs w:val="20"/>
              </w:rPr>
              <w:endnoteReference w:id="12"/>
            </w:r>
          </w:p>
        </w:tc>
      </w:tr>
      <w:tr w:rsidR="00493C38" w:rsidRPr="00642762" w14:paraId="5BD89767" w14:textId="77777777" w:rsidTr="00D90FAB">
        <w:tc>
          <w:tcPr>
            <w:tcW w:w="1896" w:type="dxa"/>
          </w:tcPr>
          <w:p w14:paraId="61FC6711"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Trgovina oružjem</w:t>
            </w:r>
            <w:r>
              <w:rPr>
                <w:rFonts w:ascii="Times New Roman" w:hAnsi="Times New Roman"/>
                <w:sz w:val="20"/>
                <w:szCs w:val="20"/>
              </w:rPr>
              <w:t xml:space="preserve">  </w:t>
            </w:r>
          </w:p>
        </w:tc>
        <w:tc>
          <w:tcPr>
            <w:tcW w:w="7842" w:type="dxa"/>
          </w:tcPr>
          <w:p w14:paraId="2B0AE3F9"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Međunarodna trgovina i prenos svih vrsta ubojnih sredstava, vojne opreme, podkomponenata i lansirnih sistema (sistema za dostavu) i druge robe konstruisane za vojnu namenu ili predviđene za vojnu namenu. Trgovina oružjem takođe se sastoji i od vojnih usluga kao što su obuka, aktivnosti snabdevanja, popravka opreme, tehnička pomoć i izgradnje postrojenja za namensku proizvodnju.</w:t>
            </w:r>
            <w:r w:rsidRPr="00C23CD2">
              <w:rPr>
                <w:rStyle w:val="EndnoteReference"/>
                <w:rFonts w:ascii="Times New Roman" w:hAnsi="Times New Roman" w:cs="Times New Roman"/>
                <w:sz w:val="20"/>
                <w:szCs w:val="20"/>
              </w:rPr>
              <w:endnoteReference w:id="13"/>
            </w:r>
          </w:p>
        </w:tc>
      </w:tr>
      <w:tr w:rsidR="00493C38" w:rsidRPr="00642762" w14:paraId="0CD17448" w14:textId="77777777" w:rsidTr="00D90FAB">
        <w:tc>
          <w:tcPr>
            <w:tcW w:w="1896" w:type="dxa"/>
          </w:tcPr>
          <w:p w14:paraId="1F35435B"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Transfer naoružanja i vojne opreme</w:t>
            </w:r>
            <w:r>
              <w:rPr>
                <w:rFonts w:ascii="Times New Roman" w:hAnsi="Times New Roman"/>
                <w:sz w:val="20"/>
                <w:szCs w:val="20"/>
              </w:rPr>
              <w:t xml:space="preserve">  </w:t>
            </w:r>
          </w:p>
        </w:tc>
        <w:tc>
          <w:tcPr>
            <w:tcW w:w="7842" w:type="dxa"/>
          </w:tcPr>
          <w:p w14:paraId="5965B3FA" w14:textId="77777777" w:rsidR="00493C38" w:rsidRPr="00C23CD2" w:rsidRDefault="00493C38" w:rsidP="00D90FAB">
            <w:pPr>
              <w:jc w:val="both"/>
              <w:rPr>
                <w:rFonts w:ascii="Times New Roman" w:hAnsi="Times New Roman" w:cs="Times New Roman"/>
                <w:b/>
                <w:sz w:val="20"/>
                <w:szCs w:val="20"/>
              </w:rPr>
            </w:pPr>
            <w:r>
              <w:rPr>
                <w:rFonts w:ascii="Times New Roman" w:hAnsi="Times New Roman"/>
                <w:sz w:val="20"/>
                <w:szCs w:val="20"/>
              </w:rPr>
              <w:t>Svaka transakcija koja za rezultat ima promenu vlasništva i/ili kontrole nad svim vrstama ubojnih sredstava, vojne opreme, podkomponenata i lansirnih sistema (sistema za dostavu), kao i druge robe konstruisane za vojnu namenu, i svako fizičko premeštanje te robe iz jedne nadležnosti u drugu.  Transferi obuhvataju one koji se obavljaju u zamenu za direktno plaćanje, kredit, stranu pomoć, bespovratna sredstva i robu primljenu na osnovu kompenzacije ili barter posla. Transferi oružja takođe obuhvataju fizičke i nevidljive transfere ekspertize, informacija, projekata, planova, tehnologije ili dobara u okviru licencnih i sporazuma o zajedničkoj proizvodnji, aranžmane o zakupu, i isporuke naoružanja u zamenu za koje dobavljač ne dobija finansijsku naknadu, robu ili usluge. Pružanje stručnosti, znanja i veština o korišenju naoružanja od strane jednog ili više lica drugom licu u drugoj nadležnosti takođe čini nevidljivi transfer.</w:t>
            </w:r>
            <w:r w:rsidRPr="00C23CD2">
              <w:rPr>
                <w:rStyle w:val="EndnoteReference"/>
                <w:rFonts w:ascii="Times New Roman" w:hAnsi="Times New Roman" w:cs="Times New Roman"/>
                <w:sz w:val="20"/>
                <w:szCs w:val="20"/>
              </w:rPr>
              <w:endnoteReference w:id="14"/>
            </w:r>
            <w:r>
              <w:rPr>
                <w:rFonts w:ascii="Times New Roman" w:hAnsi="Times New Roman"/>
                <w:b/>
                <w:sz w:val="20"/>
                <w:szCs w:val="20"/>
              </w:rPr>
              <w:t xml:space="preserve"> </w:t>
            </w:r>
            <w:r>
              <w:rPr>
                <w:rFonts w:ascii="Times New Roman" w:hAnsi="Times New Roman"/>
                <w:sz w:val="20"/>
                <w:szCs w:val="20"/>
              </w:rPr>
              <w:t>A transfer may be:</w:t>
            </w:r>
            <w:r>
              <w:rPr>
                <w:rFonts w:ascii="Times New Roman" w:hAnsi="Times New Roman"/>
                <w:b/>
                <w:sz w:val="20"/>
                <w:szCs w:val="20"/>
              </w:rPr>
              <w:t xml:space="preserve"> </w:t>
            </w:r>
          </w:p>
          <w:p w14:paraId="2DB66752" w14:textId="77777777" w:rsidR="00493C38" w:rsidRPr="00C23CD2" w:rsidRDefault="00493C38" w:rsidP="00D90FAB">
            <w:pPr>
              <w:pStyle w:val="AutoCorrect"/>
              <w:numPr>
                <w:ilvl w:val="0"/>
                <w:numId w:val="7"/>
              </w:numPr>
              <w:jc w:val="both"/>
              <w:rPr>
                <w:rFonts w:ascii="Times New Roman" w:hAnsi="Times New Roman" w:cs="Times New Roman"/>
                <w:b/>
                <w:sz w:val="20"/>
                <w:szCs w:val="20"/>
              </w:rPr>
            </w:pPr>
            <w:r>
              <w:rPr>
                <w:rFonts w:ascii="Times New Roman" w:hAnsi="Times New Roman"/>
                <w:b/>
                <w:sz w:val="20"/>
                <w:szCs w:val="20"/>
              </w:rPr>
              <w:t>Zakonit/ legalan/ legitiman:</w:t>
            </w:r>
            <w:r>
              <w:rPr>
                <w:rFonts w:ascii="Times New Roman" w:hAnsi="Times New Roman"/>
                <w:sz w:val="20"/>
                <w:szCs w:val="20"/>
              </w:rPr>
              <w:t xml:space="preserve"> Transfer oružja koji se obavlja uz aktivnu ili pasivnu uključenost nacionalnih vlada ili njihovih ovlašćenih zastupnika i u skladu sa domaćim i međunarodnim pravom;</w:t>
            </w:r>
            <w:r w:rsidRPr="00C23CD2">
              <w:rPr>
                <w:rStyle w:val="EndnoteReference"/>
                <w:rFonts w:ascii="Times New Roman" w:hAnsi="Times New Roman" w:cs="Times New Roman"/>
                <w:sz w:val="20"/>
                <w:szCs w:val="20"/>
              </w:rPr>
              <w:endnoteReference w:id="15"/>
            </w:r>
            <w:r>
              <w:rPr>
                <w:rFonts w:ascii="Times New Roman" w:hAnsi="Times New Roman"/>
                <w:sz w:val="20"/>
                <w:szCs w:val="20"/>
              </w:rPr>
              <w:t xml:space="preserve"> </w:t>
            </w:r>
          </w:p>
          <w:p w14:paraId="49A68509" w14:textId="77777777" w:rsidR="00493C38" w:rsidRPr="00C23CD2" w:rsidRDefault="00493C38" w:rsidP="00D90FAB">
            <w:pPr>
              <w:pStyle w:val="AutoCorrect"/>
              <w:numPr>
                <w:ilvl w:val="0"/>
                <w:numId w:val="7"/>
              </w:numPr>
              <w:jc w:val="both"/>
              <w:rPr>
                <w:rFonts w:ascii="Times New Roman" w:hAnsi="Times New Roman" w:cs="Times New Roman"/>
                <w:sz w:val="20"/>
                <w:szCs w:val="20"/>
              </w:rPr>
            </w:pPr>
            <w:r>
              <w:rPr>
                <w:rFonts w:ascii="Times New Roman" w:hAnsi="Times New Roman"/>
                <w:b/>
                <w:sz w:val="20"/>
                <w:szCs w:val="20"/>
              </w:rPr>
              <w:t>Nezakonit/ nelegalan/ „crno tržište“</w:t>
            </w:r>
            <w:r>
              <w:rPr>
                <w:rFonts w:ascii="Times New Roman" w:hAnsi="Times New Roman"/>
                <w:sz w:val="20"/>
                <w:szCs w:val="20"/>
              </w:rPr>
              <w:t>: Transfer naoružanja koji se sprovodi uz jasno kršenje domaćeg i/ili međunarodnog prava i bez zvanične saglasnosti ili odobrenja vlade;</w:t>
            </w:r>
            <w:r w:rsidRPr="00C23CD2">
              <w:rPr>
                <w:rStyle w:val="EndnoteReference"/>
                <w:rFonts w:ascii="Times New Roman" w:hAnsi="Times New Roman" w:cs="Times New Roman"/>
                <w:sz w:val="20"/>
                <w:szCs w:val="20"/>
              </w:rPr>
              <w:endnoteReference w:id="16"/>
            </w:r>
            <w:r>
              <w:rPr>
                <w:rFonts w:ascii="Times New Roman" w:hAnsi="Times New Roman"/>
                <w:sz w:val="20"/>
                <w:szCs w:val="20"/>
              </w:rPr>
              <w:t xml:space="preserve"> </w:t>
            </w:r>
          </w:p>
          <w:p w14:paraId="144A98B8" w14:textId="77777777" w:rsidR="00493C38" w:rsidRPr="00C23CD2" w:rsidRDefault="00493C38" w:rsidP="00D90FAB">
            <w:pPr>
              <w:pStyle w:val="AutoCorrect"/>
              <w:numPr>
                <w:ilvl w:val="0"/>
                <w:numId w:val="7"/>
              </w:numPr>
              <w:jc w:val="both"/>
              <w:rPr>
                <w:rFonts w:ascii="Times New Roman" w:hAnsi="Times New Roman" w:cs="Times New Roman"/>
                <w:sz w:val="20"/>
                <w:szCs w:val="20"/>
              </w:rPr>
            </w:pPr>
            <w:r>
              <w:rPr>
                <w:rFonts w:ascii="Times New Roman" w:hAnsi="Times New Roman"/>
                <w:b/>
                <w:sz w:val="20"/>
                <w:szCs w:val="20"/>
              </w:rPr>
              <w:t>„Sivo tržište“</w:t>
            </w:r>
            <w:r>
              <w:rPr>
                <w:rFonts w:ascii="Times New Roman" w:hAnsi="Times New Roman"/>
                <w:sz w:val="20"/>
                <w:szCs w:val="20"/>
              </w:rPr>
              <w:t>: Transferi koje obavlja vlada, njen zastupnik/ci ili pojedinac koji namerno iskorišćava rupe u nacionalnom i međunarodnom zakonodavstvu kako bi izbegao kontrole trgovine oružjem.</w:t>
            </w:r>
            <w:r w:rsidRPr="00C23CD2">
              <w:rPr>
                <w:rStyle w:val="EndnoteReference"/>
                <w:rFonts w:ascii="Times New Roman" w:hAnsi="Times New Roman" w:cs="Times New Roman"/>
                <w:sz w:val="20"/>
                <w:szCs w:val="20"/>
              </w:rPr>
              <w:endnoteReference w:id="17"/>
            </w:r>
          </w:p>
        </w:tc>
      </w:tr>
      <w:tr w:rsidR="00493C38" w:rsidRPr="00642762" w14:paraId="7C98C807" w14:textId="77777777" w:rsidTr="00D90FAB">
        <w:tc>
          <w:tcPr>
            <w:tcW w:w="1896" w:type="dxa"/>
          </w:tcPr>
          <w:p w14:paraId="5A66B2CA"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Lansirni sistem/ sistem dostave</w:t>
            </w:r>
          </w:p>
        </w:tc>
        <w:tc>
          <w:tcPr>
            <w:tcW w:w="7842" w:type="dxa"/>
          </w:tcPr>
          <w:p w14:paraId="30E5D7E9"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Pr>
                <w:rFonts w:ascii="Times New Roman" w:hAnsi="Times New Roman"/>
                <w:sz w:val="20"/>
                <w:szCs w:val="20"/>
                <w:shd w:val="clear" w:color="auto" w:fill="FFFFFF"/>
              </w:rPr>
              <w:t>Projektili, rakete i drugi bespilotni sistemi koji su u stanju da, ili koji su posebno konstruisani za dostavu, odnosno isporuku nuklearnog, hemijskog, biološkog i konvencionalnog oružja.</w:t>
            </w:r>
            <w:r w:rsidRPr="00C23CD2">
              <w:rPr>
                <w:rStyle w:val="EndnoteReference"/>
                <w:rFonts w:ascii="Times New Roman" w:hAnsi="Times New Roman" w:cs="Times New Roman"/>
                <w:sz w:val="20"/>
                <w:szCs w:val="20"/>
                <w:shd w:val="clear" w:color="auto" w:fill="FFFFFF"/>
              </w:rPr>
              <w:endnoteReference w:id="18"/>
            </w:r>
          </w:p>
        </w:tc>
      </w:tr>
      <w:tr w:rsidR="00493C38" w:rsidRPr="00642762" w14:paraId="2EAB496E" w14:textId="77777777" w:rsidTr="00D90FAB">
        <w:tc>
          <w:tcPr>
            <w:tcW w:w="1896" w:type="dxa"/>
          </w:tcPr>
          <w:p w14:paraId="0C3EB234"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Potvrda o dostavi robe dvostruke namene (DVC)</w:t>
            </w:r>
          </w:p>
        </w:tc>
        <w:tc>
          <w:tcPr>
            <w:tcW w:w="7842" w:type="dxa"/>
          </w:tcPr>
          <w:p w14:paraId="5C471987" w14:textId="77777777" w:rsidR="00493C38" w:rsidRPr="00C23CD2" w:rsidRDefault="00493C38" w:rsidP="00D90FAB">
            <w:pPr>
              <w:pStyle w:val="ListParagraph"/>
              <w:ind w:left="-18"/>
              <w:contextualSpacing w:val="0"/>
              <w:jc w:val="both"/>
              <w:rPr>
                <w:rFonts w:ascii="Times New Roman" w:hAnsi="Times New Roman" w:cs="Times New Roman"/>
                <w:b/>
                <w:sz w:val="20"/>
                <w:szCs w:val="20"/>
              </w:rPr>
            </w:pPr>
            <w:r>
              <w:rPr>
                <w:rFonts w:ascii="Times New Roman" w:hAnsi="Times New Roman"/>
                <w:sz w:val="20"/>
                <w:szCs w:val="20"/>
              </w:rPr>
              <w:t>„Dokument koji izdaju državni organi zemlje krajnjeg odredišta nakon što se izvrši izvoz, a roba ili uđe u izvoznu nadležnost zemlje primaoca ili je na drugi način evidentirana od strane uvoznika kod države izdavaoca potvrde.“</w:t>
            </w:r>
            <w:r w:rsidRPr="00C23CD2">
              <w:rPr>
                <w:rStyle w:val="EndnoteReference"/>
                <w:rFonts w:ascii="Times New Roman" w:hAnsi="Times New Roman" w:cs="Times New Roman"/>
                <w:sz w:val="20"/>
                <w:szCs w:val="20"/>
              </w:rPr>
              <w:endnoteReference w:id="19"/>
            </w:r>
          </w:p>
        </w:tc>
      </w:tr>
      <w:tr w:rsidR="00493C38" w:rsidRPr="00642762" w14:paraId="02038262" w14:textId="77777777" w:rsidTr="00D90FAB">
        <w:tc>
          <w:tcPr>
            <w:tcW w:w="1896" w:type="dxa"/>
          </w:tcPr>
          <w:p w14:paraId="7C2CBE53"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Bojazan u pogledu odredišta u kome dolazi do preusmeravanja robe</w:t>
            </w:r>
          </w:p>
        </w:tc>
        <w:tc>
          <w:tcPr>
            <w:tcW w:w="7842" w:type="dxa"/>
          </w:tcPr>
          <w:p w14:paraId="5B8E6D49" w14:textId="77777777" w:rsidR="00493C38" w:rsidRPr="00C23CD2" w:rsidRDefault="00493C38" w:rsidP="00D90FAB">
            <w:pPr>
              <w:pStyle w:val="ListParagraph"/>
              <w:ind w:left="0"/>
              <w:contextualSpacing w:val="0"/>
              <w:jc w:val="both"/>
              <w:rPr>
                <w:rFonts w:ascii="Times New Roman" w:hAnsi="Times New Roman" w:cs="Times New Roman"/>
                <w:b/>
                <w:sz w:val="20"/>
                <w:szCs w:val="20"/>
              </w:rPr>
            </w:pPr>
            <w:r>
              <w:rPr>
                <w:rFonts w:ascii="Times New Roman" w:hAnsi="Times New Roman"/>
                <w:sz w:val="20"/>
                <w:szCs w:val="20"/>
              </w:rPr>
              <w:t>Države se označavaju kao one koje izazivaju „bojazan da je reč o odredištu u kome dolazi do preusmeravanja robe“ ukoliko se utvrdi da dopuštaju značajno preusmeravanje robe, kako kontrolisane tako i one koja nije predmet kontrole, kroz svoju teritoriju do druge države koja podleže sankcijama ili embargu.</w:t>
            </w:r>
            <w:r w:rsidRPr="00C23CD2">
              <w:rPr>
                <w:rStyle w:val="EndnoteReference"/>
                <w:rFonts w:ascii="Times New Roman" w:hAnsi="Times New Roman" w:cs="Times New Roman"/>
                <w:sz w:val="20"/>
                <w:szCs w:val="20"/>
              </w:rPr>
              <w:endnoteReference w:id="20"/>
            </w:r>
            <w:r>
              <w:rPr>
                <w:rFonts w:ascii="Times New Roman" w:hAnsi="Times New Roman"/>
                <w:b/>
                <w:sz w:val="20"/>
                <w:szCs w:val="20"/>
              </w:rPr>
              <w:t xml:space="preserve"> </w:t>
            </w:r>
          </w:p>
        </w:tc>
      </w:tr>
      <w:tr w:rsidR="00493C38" w:rsidRPr="00642762" w14:paraId="101BD759" w14:textId="77777777" w:rsidTr="00D90FAB">
        <w:tc>
          <w:tcPr>
            <w:tcW w:w="1896" w:type="dxa"/>
          </w:tcPr>
          <w:p w14:paraId="5BAD9C8D"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 xml:space="preserve">Krajnji korisnik/ci koji izazivaju </w:t>
            </w:r>
            <w:r>
              <w:rPr>
                <w:rFonts w:ascii="Times New Roman" w:hAnsi="Times New Roman"/>
                <w:b/>
                <w:sz w:val="20"/>
                <w:szCs w:val="20"/>
              </w:rPr>
              <w:lastRenderedPageBreak/>
              <w:t xml:space="preserve">zabrinutost:  </w:t>
            </w:r>
          </w:p>
        </w:tc>
        <w:tc>
          <w:tcPr>
            <w:tcW w:w="7842" w:type="dxa"/>
          </w:tcPr>
          <w:p w14:paraId="2E5BBAD9" w14:textId="77777777" w:rsidR="00493C38" w:rsidRPr="00C23CD2" w:rsidRDefault="00493C38" w:rsidP="00D90FAB">
            <w:pPr>
              <w:pStyle w:val="ListParagraph"/>
              <w:ind w:left="-18"/>
              <w:contextualSpacing w:val="0"/>
              <w:jc w:val="both"/>
              <w:rPr>
                <w:rFonts w:ascii="Times New Roman" w:hAnsi="Times New Roman" w:cs="Times New Roman"/>
                <w:b/>
                <w:sz w:val="20"/>
                <w:szCs w:val="20"/>
              </w:rPr>
            </w:pPr>
            <w:r>
              <w:rPr>
                <w:rFonts w:ascii="Times New Roman" w:hAnsi="Times New Roman"/>
                <w:sz w:val="20"/>
                <w:szCs w:val="20"/>
              </w:rPr>
              <w:lastRenderedPageBreak/>
              <w:t xml:space="preserve">Pojedinci, privredni subjekti i vlade pod međunarodnim, regionalnim ili nacionalnim sankcijama, ograničenjima ili embargom na naoružanje i vojnu opremu. Krajnji korisnici koji </w:t>
            </w:r>
            <w:r>
              <w:rPr>
                <w:rFonts w:ascii="Times New Roman" w:hAnsi="Times New Roman"/>
                <w:sz w:val="20"/>
                <w:szCs w:val="20"/>
              </w:rPr>
              <w:lastRenderedPageBreak/>
              <w:t>izazivaju zabrinutost obuhvataju one zemlje koje podležu embargu na naoružanje i vojnu opremu Ujedinjenih nacija i/ili OEBS, kao i svi pojedinci ili privredni subjekti koje je Savet bezbednosti UN označio kao strane na koje se primenjuju ograničenja.</w:t>
            </w:r>
          </w:p>
        </w:tc>
      </w:tr>
      <w:tr w:rsidR="00493C38" w:rsidRPr="00642762" w14:paraId="0DC16A6E" w14:textId="77777777" w:rsidTr="00D90FAB">
        <w:tc>
          <w:tcPr>
            <w:tcW w:w="1896" w:type="dxa"/>
          </w:tcPr>
          <w:p w14:paraId="172133DF"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lastRenderedPageBreak/>
              <w:t>Eksplozivi</w:t>
            </w:r>
          </w:p>
        </w:tc>
        <w:tc>
          <w:tcPr>
            <w:tcW w:w="7842" w:type="dxa"/>
          </w:tcPr>
          <w:p w14:paraId="6FCFB0E0" w14:textId="77777777" w:rsidR="00493C38" w:rsidRPr="00C23CD2" w:rsidRDefault="00493C38" w:rsidP="00D90FAB">
            <w:pPr>
              <w:autoSpaceDE w:val="0"/>
              <w:autoSpaceDN w:val="0"/>
              <w:adjustRightInd w:val="0"/>
              <w:spacing w:before="60"/>
              <w:ind w:left="-18"/>
              <w:jc w:val="both"/>
              <w:rPr>
                <w:rFonts w:ascii="Times New Roman" w:hAnsi="Times New Roman" w:cs="Times New Roman"/>
                <w:sz w:val="20"/>
                <w:szCs w:val="20"/>
              </w:rPr>
            </w:pPr>
            <w:r>
              <w:rPr>
                <w:rFonts w:ascii="Times New Roman" w:hAnsi="Times New Roman"/>
                <w:b/>
                <w:sz w:val="20"/>
                <w:szCs w:val="20"/>
              </w:rPr>
              <w:t>„</w:t>
            </w:r>
            <w:r>
              <w:rPr>
                <w:rFonts w:ascii="Times New Roman" w:hAnsi="Times New Roman"/>
                <w:sz w:val="20"/>
                <w:szCs w:val="20"/>
                <w:shd w:val="clear" w:color="auto" w:fill="FFFFFF"/>
              </w:rPr>
              <w:t>Čvrste, tečne ili gasovite supstance ili smeše koje moraju da eksplodiraju kada se koriste kao primarna, startna ili glavna punjenja u bojevim glavama, prilikom rušenja ili pri drugim primenama.“</w:t>
            </w:r>
            <w:r w:rsidRPr="00C23CD2">
              <w:rPr>
                <w:rStyle w:val="EndnoteReference"/>
                <w:rFonts w:ascii="Times New Roman" w:hAnsi="Times New Roman" w:cs="Times New Roman"/>
                <w:sz w:val="20"/>
                <w:szCs w:val="20"/>
                <w:shd w:val="clear" w:color="auto" w:fill="FFFFFF"/>
              </w:rPr>
              <w:endnoteReference w:id="21"/>
            </w:r>
          </w:p>
        </w:tc>
      </w:tr>
      <w:tr w:rsidR="00493C38" w:rsidRPr="00642762" w14:paraId="0A0F94D7" w14:textId="77777777" w:rsidTr="00D90FAB">
        <w:tc>
          <w:tcPr>
            <w:tcW w:w="1896" w:type="dxa"/>
          </w:tcPr>
          <w:p w14:paraId="501CA466"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Vanteritorijalne kontrole</w:t>
            </w:r>
          </w:p>
        </w:tc>
        <w:tc>
          <w:tcPr>
            <w:tcW w:w="7842" w:type="dxa"/>
          </w:tcPr>
          <w:p w14:paraId="75DBBDDC" w14:textId="77777777" w:rsidR="00493C38" w:rsidRPr="00C23CD2" w:rsidRDefault="00493C38" w:rsidP="00D90FAB">
            <w:pPr>
              <w:pStyle w:val="ListParagraph"/>
              <w:numPr>
                <w:ilvl w:val="0"/>
                <w:numId w:val="8"/>
              </w:numPr>
              <w:ind w:left="0" w:hanging="720"/>
              <w:contextualSpacing w:val="0"/>
              <w:jc w:val="both"/>
              <w:rPr>
                <w:rFonts w:ascii="Times New Roman" w:hAnsi="Times New Roman" w:cs="Times New Roman"/>
                <w:b/>
                <w:sz w:val="20"/>
                <w:szCs w:val="20"/>
              </w:rPr>
            </w:pPr>
            <w:r>
              <w:rPr>
                <w:rFonts w:ascii="Times New Roman" w:hAnsi="Times New Roman"/>
                <w:sz w:val="20"/>
                <w:szCs w:val="20"/>
              </w:rPr>
              <w:t>Odredbe nacionalnog zakonodavstva koje omogućavaju vladi da sprovodi nadležnosti i kontrolu nad državljanima, licima sa stalnim prebivalištem, kao i registrovanim privrednim društvima kada obavljaju aktivnosti/delatnost u inostranstvu.</w:t>
            </w:r>
            <w:r w:rsidRPr="00C23CD2">
              <w:rPr>
                <w:rStyle w:val="EndnoteReference"/>
                <w:rFonts w:ascii="Times New Roman" w:hAnsi="Times New Roman" w:cs="Times New Roman"/>
                <w:sz w:val="20"/>
                <w:szCs w:val="20"/>
              </w:rPr>
              <w:endnoteReference w:id="22"/>
            </w:r>
            <w:r>
              <w:rPr>
                <w:rFonts w:ascii="Times New Roman" w:hAnsi="Times New Roman"/>
                <w:sz w:val="20"/>
                <w:szCs w:val="20"/>
              </w:rPr>
              <w:t xml:space="preserve"> Primeri vanteritorijalnih aktivnosti za koje vlade mogu odlučiti da ih regulišu uključuju brokerske usluge, povezane aktivnosti i srodne usluge, kao i ponovni izvoz i/ili ponovni tranfer/prenos trećoj strani.</w:t>
            </w:r>
            <w:r w:rsidRPr="00C23CD2">
              <w:rPr>
                <w:rStyle w:val="EndnoteReference"/>
                <w:rFonts w:ascii="Times New Roman" w:hAnsi="Times New Roman" w:cs="Times New Roman"/>
                <w:sz w:val="20"/>
                <w:szCs w:val="20"/>
              </w:rPr>
              <w:endnoteReference w:id="23"/>
            </w:r>
            <w:r>
              <w:rPr>
                <w:rFonts w:ascii="Times New Roman" w:hAnsi="Times New Roman"/>
                <w:sz w:val="20"/>
                <w:szCs w:val="20"/>
              </w:rPr>
              <w:t xml:space="preserve"> </w:t>
            </w:r>
          </w:p>
        </w:tc>
      </w:tr>
      <w:tr w:rsidR="00493C38" w:rsidRPr="00642762" w14:paraId="5D1F69DC" w14:textId="77777777" w:rsidTr="00D90FAB">
        <w:tc>
          <w:tcPr>
            <w:tcW w:w="1896" w:type="dxa"/>
          </w:tcPr>
          <w:p w14:paraId="12CDAF96"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Vatreno oružje</w:t>
            </w:r>
          </w:p>
        </w:tc>
        <w:tc>
          <w:tcPr>
            <w:tcW w:w="7842" w:type="dxa"/>
          </w:tcPr>
          <w:p w14:paraId="77D5B8CC"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Svako ručno prenosivo oružje sa cevi koje je izrađeno ili može biti prilagođeno da izbaci zrno, kuglu, sačmu ili projektil pod dejstvom potisnog sredstva (isključujući trofejno oružje ili njihove replike).</w:t>
            </w:r>
            <w:r w:rsidRPr="00C23CD2">
              <w:rPr>
                <w:rStyle w:val="EndnoteReference"/>
                <w:rFonts w:ascii="Times New Roman" w:hAnsi="Times New Roman" w:cs="Times New Roman"/>
                <w:sz w:val="20"/>
                <w:szCs w:val="20"/>
              </w:rPr>
              <w:endnoteReference w:id="24"/>
            </w:r>
          </w:p>
        </w:tc>
      </w:tr>
      <w:tr w:rsidR="00493C38" w:rsidRPr="00642762" w14:paraId="6D4557D6" w14:textId="77777777" w:rsidTr="00D90FAB">
        <w:tc>
          <w:tcPr>
            <w:tcW w:w="1896" w:type="dxa"/>
          </w:tcPr>
          <w:p w14:paraId="192D1197"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Zastava pogodnosti</w:t>
            </w:r>
          </w:p>
        </w:tc>
        <w:tc>
          <w:tcPr>
            <w:tcW w:w="7842" w:type="dxa"/>
          </w:tcPr>
          <w:p w14:paraId="71087A36" w14:textId="77777777" w:rsidR="00493C38" w:rsidRPr="00554472" w:rsidRDefault="00493C38" w:rsidP="00D90FAB">
            <w:pPr>
              <w:pStyle w:val="ListParagraph"/>
              <w:ind w:left="0" w:firstLine="17"/>
              <w:contextualSpacing w:val="0"/>
              <w:jc w:val="both"/>
              <w:rPr>
                <w:rFonts w:ascii="Times New Roman" w:hAnsi="Times New Roman" w:cs="Times New Roman"/>
                <w:sz w:val="20"/>
                <w:szCs w:val="20"/>
              </w:rPr>
            </w:pPr>
            <w:r>
              <w:rPr>
                <w:rFonts w:ascii="Times New Roman" w:hAnsi="Times New Roman"/>
                <w:sz w:val="20"/>
                <w:szCs w:val="20"/>
              </w:rPr>
              <w:t>Poslovna praksa registrovanja trgovačkog broda u suverenoj državi koja se razlikuje od one vlasnika broda ili one pod čijom zastavom brod plovi. Moguće je odlučiti da se brod registruje pod zastavom pogodnosti (FOC) kako bi se smanjili operativni troškovi, utajio porez ili izbegli propisi zemlje vlasnika broda. Usko povezani termin „otvoreni registar“ koristi se za opisivanje organizacije koja će registrovati brodove u vlasništvu stranih subjekata.</w:t>
            </w:r>
            <w:r w:rsidRPr="00554472">
              <w:rPr>
                <w:rStyle w:val="EndnoteReference"/>
                <w:rFonts w:ascii="Times New Roman" w:hAnsi="Times New Roman" w:cs="Times New Roman"/>
                <w:sz w:val="20"/>
                <w:szCs w:val="20"/>
              </w:rPr>
              <w:endnoteReference w:id="25"/>
            </w:r>
          </w:p>
        </w:tc>
      </w:tr>
      <w:tr w:rsidR="00493C38" w:rsidRPr="00642762" w14:paraId="1A0875CD" w14:textId="77777777" w:rsidTr="00D90FAB">
        <w:tc>
          <w:tcPr>
            <w:tcW w:w="1896" w:type="dxa"/>
          </w:tcPr>
          <w:p w14:paraId="18478E14"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Propisi o međunarodnoj trgovini oružjem (ITAR)</w:t>
            </w:r>
          </w:p>
        </w:tc>
        <w:tc>
          <w:tcPr>
            <w:tcW w:w="7842" w:type="dxa"/>
          </w:tcPr>
          <w:p w14:paraId="0C2246F2" w14:textId="77777777" w:rsidR="00493C38" w:rsidRPr="00C23CD2" w:rsidRDefault="00493C38" w:rsidP="00D90FAB">
            <w:pPr>
              <w:pStyle w:val="ListParagraph"/>
              <w:spacing w:before="120" w:after="120"/>
              <w:ind w:left="0" w:firstLine="17"/>
              <w:contextualSpacing w:val="0"/>
              <w:jc w:val="both"/>
              <w:rPr>
                <w:rFonts w:ascii="Times New Roman" w:hAnsi="Times New Roman" w:cs="Times New Roman"/>
                <w:b/>
                <w:sz w:val="20"/>
                <w:szCs w:val="20"/>
              </w:rPr>
            </w:pPr>
            <w:r>
              <w:rPr>
                <w:rFonts w:ascii="Times New Roman" w:hAnsi="Times New Roman"/>
                <w:sz w:val="20"/>
                <w:szCs w:val="20"/>
              </w:rPr>
              <w:t>Propisi koje primenjuje Ministarstvo spoljnih poslova SAD u cilju kontrole izvoza</w:t>
            </w:r>
            <w:r>
              <w:rPr>
                <w:rStyle w:val="apple-converted-space"/>
                <w:rFonts w:ascii="Times New Roman" w:hAnsi="Times New Roman"/>
                <w:bCs/>
                <w:sz w:val="20"/>
                <w:szCs w:val="20"/>
              </w:rPr>
              <w:t xml:space="preserve"> </w:t>
            </w:r>
            <w:r>
              <w:rPr>
                <w:rFonts w:ascii="Times New Roman" w:hAnsi="Times New Roman"/>
                <w:bCs/>
                <w:sz w:val="20"/>
                <w:szCs w:val="20"/>
              </w:rPr>
              <w:t>američkog</w:t>
            </w:r>
            <w:r>
              <w:rPr>
                <w:rStyle w:val="apple-converted-space"/>
                <w:rFonts w:ascii="Times New Roman" w:hAnsi="Times New Roman"/>
                <w:bCs/>
                <w:sz w:val="20"/>
                <w:szCs w:val="20"/>
              </w:rPr>
              <w:t xml:space="preserve"> </w:t>
            </w:r>
            <w:r>
              <w:rPr>
                <w:rFonts w:ascii="Times New Roman" w:hAnsi="Times New Roman"/>
                <w:bCs/>
                <w:sz w:val="20"/>
                <w:szCs w:val="20"/>
              </w:rPr>
              <w:t>naoružanja i vojne opreme, kao i usluga. Odredbe koje se sprovode u Propisima o međunarodnoj trgovini oružjem (ITAR) uređene su Zakonom o kontroli izvoza oružja (AECA). Direktna komercijalna prodaja naoružanja i vojne opreme poreklom iz SAD, kao i njihovih komponenti, tehnologija i usluga podleže izdavanju dozvola koje izdaje Uprava za kontrolu trgovine naoružanjem i vojnom opremom (Directorate of Defense Trade Controls - DDTC) u skladu sa Propisima o međunarodnoj trgovini oružjem.</w:t>
            </w:r>
            <w:r w:rsidRPr="00C23CD2">
              <w:rPr>
                <w:rStyle w:val="EndnoteReference"/>
                <w:rFonts w:ascii="Times New Roman" w:hAnsi="Times New Roman" w:cs="Times New Roman"/>
                <w:bCs/>
                <w:sz w:val="20"/>
                <w:szCs w:val="20"/>
              </w:rPr>
              <w:endnoteReference w:id="26"/>
            </w:r>
          </w:p>
        </w:tc>
      </w:tr>
      <w:tr w:rsidR="00493C38" w:rsidRPr="00642762" w14:paraId="7B41F2F5" w14:textId="77777777" w:rsidTr="00D90FAB">
        <w:tc>
          <w:tcPr>
            <w:tcW w:w="1896" w:type="dxa"/>
          </w:tcPr>
          <w:p w14:paraId="519C02AD"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Ručni raketni sistemi za protivvazdušnu odbranu (MANPADS)</w:t>
            </w:r>
          </w:p>
        </w:tc>
        <w:tc>
          <w:tcPr>
            <w:tcW w:w="7842" w:type="dxa"/>
          </w:tcPr>
          <w:p w14:paraId="691F9271" w14:textId="77777777" w:rsidR="00493C38" w:rsidRPr="00C23CD2" w:rsidRDefault="00493C38" w:rsidP="00D90FAB">
            <w:pPr>
              <w:widowControl w:val="0"/>
              <w:autoSpaceDE w:val="0"/>
              <w:autoSpaceDN w:val="0"/>
              <w:adjustRightInd w:val="0"/>
              <w:ind w:left="-6"/>
              <w:jc w:val="both"/>
              <w:rPr>
                <w:rFonts w:ascii="Times New Roman" w:hAnsi="Times New Roman" w:cs="Times New Roman"/>
                <w:sz w:val="20"/>
                <w:szCs w:val="20"/>
              </w:rPr>
            </w:pPr>
            <w:r>
              <w:rPr>
                <w:rFonts w:ascii="Times New Roman" w:hAnsi="Times New Roman"/>
                <w:sz w:val="20"/>
                <w:szCs w:val="20"/>
              </w:rPr>
              <w:t xml:space="preserve">Raketni sistemi zemlja-vazduh kojima može upravljati jedan čovek ili nekoliko pripadnika oružanih snaga koji služe kao posada. </w:t>
            </w:r>
          </w:p>
        </w:tc>
      </w:tr>
      <w:tr w:rsidR="00493C38" w:rsidRPr="00642762" w14:paraId="30BA90D7" w14:textId="77777777" w:rsidTr="00D90FAB">
        <w:tc>
          <w:tcPr>
            <w:tcW w:w="1896" w:type="dxa"/>
          </w:tcPr>
          <w:p w14:paraId="2C128F26"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Borbeni avion</w:t>
            </w:r>
          </w:p>
        </w:tc>
        <w:tc>
          <w:tcPr>
            <w:tcW w:w="7842" w:type="dxa"/>
          </w:tcPr>
          <w:p w14:paraId="5F0A7F17" w14:textId="77777777" w:rsidR="00493C38" w:rsidRPr="00C23CD2" w:rsidRDefault="00493C38" w:rsidP="00D90FAB">
            <w:pPr>
              <w:widowControl w:val="0"/>
              <w:autoSpaceDE w:val="0"/>
              <w:autoSpaceDN w:val="0"/>
              <w:adjustRightInd w:val="0"/>
              <w:ind w:left="-6"/>
              <w:jc w:val="both"/>
              <w:rPr>
                <w:rFonts w:ascii="Times New Roman" w:eastAsia="MS Gothic" w:hAnsi="Times New Roman" w:cs="Times New Roman"/>
                <w:sz w:val="20"/>
                <w:szCs w:val="20"/>
              </w:rPr>
            </w:pPr>
            <w:r>
              <w:rPr>
                <w:rFonts w:ascii="Times New Roman" w:hAnsi="Times New Roman"/>
                <w:sz w:val="20"/>
                <w:szCs w:val="20"/>
              </w:rPr>
              <w:t xml:space="preserve">Avion fiksne ili varijabilne geometrije krila konstruisan, opremljen ili modifikovan za: (1) jurišno dejstvo: vođenim projektilima, nenavođenim raketama, bombama, puškama, mitraljezima, topovima ili drugim oružjem za uništenje; (2) prikupljanje podataka o namerama, snazi i rasporedu protivnika (izviđanje); (3) učestvovanje u komandovanju jedinicama i elektronskom ratovanju; (4) suzbijanje elektronskog ili vatrenog dejstva sistema protivvazdušne odbrane; ili, (5) dopunu goriva iz vazduha ili desantna dejstva. </w:t>
            </w:r>
          </w:p>
        </w:tc>
      </w:tr>
      <w:tr w:rsidR="00493C38" w:rsidRPr="00642762" w14:paraId="37BF229F" w14:textId="77777777" w:rsidTr="00D90FAB">
        <w:tc>
          <w:tcPr>
            <w:tcW w:w="1896" w:type="dxa"/>
          </w:tcPr>
          <w:p w14:paraId="005348C6"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Sveobuhvatna kontrola</w:t>
            </w:r>
            <w:r>
              <w:rPr>
                <w:rFonts w:ascii="Times New Roman" w:hAnsi="Times New Roman"/>
                <w:sz w:val="20"/>
                <w:szCs w:val="20"/>
              </w:rPr>
              <w:t xml:space="preserve"> </w:t>
            </w:r>
            <w:r>
              <w:rPr>
                <w:rFonts w:ascii="Times New Roman" w:hAnsi="Times New Roman"/>
                <w:b/>
                <w:sz w:val="20"/>
                <w:szCs w:val="20"/>
              </w:rPr>
              <w:t>krajnje vojne namene</w:t>
            </w:r>
            <w:r>
              <w:rPr>
                <w:rFonts w:ascii="Times New Roman" w:hAnsi="Times New Roman"/>
                <w:sz w:val="20"/>
                <w:szCs w:val="20"/>
              </w:rPr>
              <w:t xml:space="preserve"> </w:t>
            </w:r>
          </w:p>
        </w:tc>
        <w:tc>
          <w:tcPr>
            <w:tcW w:w="7842" w:type="dxa"/>
          </w:tcPr>
          <w:p w14:paraId="161B7E0B" w14:textId="77777777" w:rsidR="00493C38" w:rsidRPr="00C23CD2" w:rsidRDefault="00493C38" w:rsidP="00D90FAB">
            <w:pPr>
              <w:jc w:val="both"/>
              <w:rPr>
                <w:rFonts w:ascii="Times New Roman" w:hAnsi="Times New Roman" w:cs="Times New Roman"/>
                <w:sz w:val="20"/>
                <w:szCs w:val="20"/>
              </w:rPr>
            </w:pPr>
            <w:r>
              <w:rPr>
                <w:rFonts w:ascii="Times New Roman" w:hAnsi="Times New Roman"/>
                <w:sz w:val="20"/>
                <w:szCs w:val="20"/>
              </w:rPr>
              <w:t xml:space="preserve">Odredba nacionalnog zakonodavstva kojom se zahteva da pravno ili fizičko lice podnese zahtev za izdavanje dozvole za obavljanje određene trgovinske delatnosti koja uključuje robu ili tehnologije koje se ne nalaze na kontrolnim listama, a za koje to lice zna, u vezi sa kojom je bilo informisano od strane državnih organa ili ima razloga da veruje da ta roba ili tehnologija može biti predodređena za krajnju konvencionalnu vojnu namenu. </w:t>
            </w:r>
          </w:p>
        </w:tc>
      </w:tr>
      <w:tr w:rsidR="00493C38" w:rsidRPr="00642762" w14:paraId="7DFE11FA" w14:textId="77777777" w:rsidTr="00D90FAB">
        <w:tc>
          <w:tcPr>
            <w:tcW w:w="1896" w:type="dxa"/>
          </w:tcPr>
          <w:p w14:paraId="3A9FFF91"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bCs/>
                <w:sz w:val="20"/>
                <w:szCs w:val="20"/>
              </w:rPr>
              <w:t>Rakete/ projektili ili raketni sistemi</w:t>
            </w:r>
          </w:p>
        </w:tc>
        <w:tc>
          <w:tcPr>
            <w:tcW w:w="7842" w:type="dxa"/>
          </w:tcPr>
          <w:p w14:paraId="271C2682" w14:textId="77777777" w:rsidR="00493C38" w:rsidRPr="00C23CD2" w:rsidRDefault="00493C38" w:rsidP="00D90FAB">
            <w:pPr>
              <w:widowControl w:val="0"/>
              <w:autoSpaceDE w:val="0"/>
              <w:autoSpaceDN w:val="0"/>
              <w:adjustRightInd w:val="0"/>
              <w:jc w:val="both"/>
              <w:rPr>
                <w:rFonts w:ascii="Times New Roman" w:hAnsi="Times New Roman" w:cs="Times New Roman"/>
                <w:sz w:val="20"/>
                <w:szCs w:val="20"/>
              </w:rPr>
            </w:pPr>
            <w:r>
              <w:rPr>
                <w:rFonts w:ascii="Times New Roman" w:hAnsi="Times New Roman"/>
                <w:sz w:val="20"/>
                <w:szCs w:val="20"/>
              </w:rPr>
              <w:t xml:space="preserve">Vođene ili nenavođene rakete, balističke ili krstareće rakete sa dometom dostave bojevih glava ili oružja za uništenje od najmanje 25 km, i sredstva konstruisana ili modifikovana posebno za lansiranje takvih projektila ili raketa. </w:t>
            </w:r>
          </w:p>
        </w:tc>
      </w:tr>
      <w:tr w:rsidR="00493C38" w:rsidRPr="00642762" w14:paraId="1A94C4B4" w14:textId="77777777" w:rsidTr="00D90FAB">
        <w:tc>
          <w:tcPr>
            <w:tcW w:w="1896" w:type="dxa"/>
          </w:tcPr>
          <w:p w14:paraId="1704B256"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Vojna oprema (takođe poznata kao bezbednosno osetljiva oprema ili naoružanje i vojna oprema / konvencionalno oružje / naoružanje)</w:t>
            </w:r>
          </w:p>
        </w:tc>
        <w:tc>
          <w:tcPr>
            <w:tcW w:w="7842" w:type="dxa"/>
          </w:tcPr>
          <w:p w14:paraId="2A3A5327"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Pr>
                <w:rFonts w:ascii="Times New Roman" w:hAnsi="Times New Roman"/>
                <w:sz w:val="20"/>
                <w:szCs w:val="20"/>
              </w:rPr>
              <w:t xml:space="preserve">Vojna oprema su </w:t>
            </w:r>
            <w:r>
              <w:rPr>
                <w:rFonts w:ascii="Times New Roman" w:hAnsi="Times New Roman"/>
                <w:sz w:val="20"/>
                <w:szCs w:val="20"/>
                <w:shd w:val="clear" w:color="auto" w:fill="FFFFFF"/>
              </w:rPr>
              <w:t>„kompletni uređaji sa punjenjem od eksploziva, potisnih eksploziva, pirotehničkih smeša, inicirajućih jedinjenja ili nuklearnih, bioloških ili hemijskih materijala za upotrebu u vojnim operacijama.“</w:t>
            </w:r>
            <w:r>
              <w:rPr>
                <w:rFonts w:ascii="Times New Roman" w:hAnsi="Times New Roman"/>
                <w:sz w:val="20"/>
                <w:szCs w:val="20"/>
              </w:rPr>
              <w:t xml:space="preserve">  „Konvencionalno oružje odnosi se na oružje koje nije oružje za masovno uništenje. Ono može da uključi, mada ne isključivo: oklopna borbena vozila, vojne helikoptere, vojne avione, ratne brodove, malokalibarsko i lako oružje (SALW), nagazne mine, kasetne bombe, municiju i artiljeriju. To su glavna oruđa rata.</w:t>
            </w:r>
            <w:r w:rsidRPr="00C23CD2">
              <w:rPr>
                <w:rStyle w:val="EndnoteReference"/>
                <w:rFonts w:ascii="Times New Roman" w:hAnsi="Times New Roman" w:cs="Times New Roman"/>
                <w:sz w:val="20"/>
                <w:szCs w:val="20"/>
                <w:shd w:val="clear" w:color="auto" w:fill="FFFFFF"/>
              </w:rPr>
              <w:endnoteReference w:id="27"/>
            </w:r>
          </w:p>
        </w:tc>
      </w:tr>
      <w:tr w:rsidR="00493C38" w:rsidRPr="00642762" w14:paraId="54858A68" w14:textId="77777777" w:rsidTr="00D90FAB">
        <w:tc>
          <w:tcPr>
            <w:tcW w:w="1896" w:type="dxa"/>
          </w:tcPr>
          <w:p w14:paraId="584AF672"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shd w:val="clear" w:color="auto" w:fill="FFFFFF"/>
              </w:rPr>
              <w:lastRenderedPageBreak/>
              <w:t>Kontrolna lista naoružanja i vojne opreme</w:t>
            </w:r>
          </w:p>
        </w:tc>
        <w:tc>
          <w:tcPr>
            <w:tcW w:w="7842" w:type="dxa"/>
          </w:tcPr>
          <w:p w14:paraId="4EDD5113" w14:textId="77777777" w:rsidR="00493C38" w:rsidRPr="00C23CD2" w:rsidRDefault="00493C38" w:rsidP="00D90FAB">
            <w:pPr>
              <w:jc w:val="both"/>
              <w:rPr>
                <w:rFonts w:ascii="Times New Roman" w:hAnsi="Times New Roman" w:cs="Times New Roman"/>
                <w:sz w:val="20"/>
                <w:szCs w:val="20"/>
                <w:shd w:val="clear" w:color="auto" w:fill="FFFFFF"/>
              </w:rPr>
            </w:pPr>
            <w:r>
              <w:rPr>
                <w:rFonts w:ascii="Times New Roman" w:hAnsi="Times New Roman"/>
                <w:sz w:val="20"/>
                <w:szCs w:val="20"/>
                <w:shd w:val="clear" w:color="auto" w:fill="FFFFFF"/>
              </w:rPr>
              <w:t xml:space="preserve">Nacionalna lista naoružanja i vojne opreme, delova, komponenata, softvera i tehnologija koje podležu posebnim kontrolama spoljne trgovine. </w:t>
            </w:r>
          </w:p>
          <w:p w14:paraId="1B7C21B1" w14:textId="77777777" w:rsidR="00493C38" w:rsidRPr="00C23CD2" w:rsidRDefault="00493C38" w:rsidP="00D90FAB">
            <w:pPr>
              <w:jc w:val="both"/>
              <w:rPr>
                <w:rFonts w:ascii="Times New Roman" w:hAnsi="Times New Roman" w:cs="Times New Roman"/>
                <w:sz w:val="20"/>
                <w:szCs w:val="20"/>
                <w:shd w:val="clear" w:color="auto" w:fill="FFFFFF"/>
              </w:rPr>
            </w:pPr>
          </w:p>
          <w:p w14:paraId="04254A56" w14:textId="77777777" w:rsidR="00493C38" w:rsidRPr="00C23CD2" w:rsidRDefault="00493C38" w:rsidP="00D90FAB">
            <w:pPr>
              <w:jc w:val="both"/>
              <w:rPr>
                <w:rFonts w:ascii="Times New Roman" w:hAnsi="Times New Roman" w:cs="Times New Roman"/>
                <w:sz w:val="20"/>
                <w:szCs w:val="20"/>
                <w:shd w:val="clear" w:color="auto" w:fill="FFFFFF"/>
              </w:rPr>
            </w:pPr>
            <w:r>
              <w:rPr>
                <w:rFonts w:ascii="Times New Roman" w:hAnsi="Times New Roman"/>
                <w:sz w:val="20"/>
                <w:szCs w:val="20"/>
                <w:u w:val="single"/>
                <w:shd w:val="clear" w:color="auto" w:fill="FFFFFF"/>
              </w:rPr>
              <w:t>Napomena 1:</w:t>
            </w:r>
            <w:r>
              <w:rPr>
                <w:rFonts w:ascii="Times New Roman" w:hAnsi="Times New Roman"/>
                <w:sz w:val="20"/>
                <w:szCs w:val="20"/>
                <w:shd w:val="clear" w:color="auto" w:fill="FFFFFF"/>
              </w:rPr>
              <w:t xml:space="preserve"> </w:t>
            </w:r>
            <w:r>
              <w:rPr>
                <w:rFonts w:ascii="Times New Roman" w:hAnsi="Times New Roman"/>
                <w:i/>
                <w:sz w:val="20"/>
                <w:szCs w:val="20"/>
                <w:shd w:val="clear" w:color="auto" w:fill="FFFFFF"/>
              </w:rPr>
              <w:t>Lista naoružanja i vojne opreme Vasenarskog aranžmana (VA) predstavlja osnovu za kontrolne liste svih država koje učestvuju u Vasenarskom aranžmanu. Lista naoružanja i vojne opreme obuhvata širok spektar naoružanja i vojne opreme, kao i municije, informacionih i komunikacionih tehnologija, opreme za obuku i opreme za proizvodnju oružja.</w:t>
            </w:r>
            <w:r w:rsidRPr="00C23CD2">
              <w:rPr>
                <w:rStyle w:val="EndnoteReference"/>
                <w:rFonts w:ascii="Times New Roman" w:hAnsi="Times New Roman" w:cs="Times New Roman"/>
                <w:i/>
                <w:sz w:val="20"/>
                <w:szCs w:val="20"/>
                <w:shd w:val="clear" w:color="auto" w:fill="FFFFFF"/>
              </w:rPr>
              <w:endnoteReference w:id="28"/>
            </w:r>
            <w:r>
              <w:rPr>
                <w:rFonts w:ascii="Times New Roman" w:hAnsi="Times New Roman"/>
                <w:i/>
                <w:sz w:val="20"/>
                <w:szCs w:val="20"/>
                <w:shd w:val="clear" w:color="auto" w:fill="FFFFFF"/>
              </w:rPr>
              <w:t xml:space="preserve"> </w:t>
            </w:r>
          </w:p>
          <w:p w14:paraId="25A18036" w14:textId="77777777" w:rsidR="00493C38" w:rsidRPr="00C23CD2" w:rsidRDefault="00493C38" w:rsidP="00D90FAB">
            <w:pPr>
              <w:jc w:val="both"/>
              <w:rPr>
                <w:rFonts w:ascii="Times New Roman" w:hAnsi="Times New Roman" w:cs="Times New Roman"/>
                <w:sz w:val="20"/>
                <w:szCs w:val="20"/>
                <w:u w:val="single"/>
              </w:rPr>
            </w:pPr>
          </w:p>
          <w:p w14:paraId="3FC06F95" w14:textId="77777777" w:rsidR="00493C38" w:rsidRPr="00C23CD2" w:rsidRDefault="00493C38" w:rsidP="00D90FAB">
            <w:pPr>
              <w:jc w:val="both"/>
              <w:rPr>
                <w:rFonts w:ascii="Times New Roman" w:hAnsi="Times New Roman" w:cs="Times New Roman"/>
                <w:sz w:val="20"/>
                <w:szCs w:val="20"/>
                <w:shd w:val="clear" w:color="auto" w:fill="FFFFFF"/>
              </w:rPr>
            </w:pPr>
            <w:r>
              <w:rPr>
                <w:rFonts w:ascii="Times New Roman" w:hAnsi="Times New Roman"/>
                <w:sz w:val="20"/>
                <w:szCs w:val="20"/>
                <w:u w:val="single"/>
              </w:rPr>
              <w:t>Napomena 2:</w:t>
            </w:r>
            <w:r>
              <w:rPr>
                <w:rFonts w:ascii="Times New Roman" w:hAnsi="Times New Roman"/>
                <w:i/>
                <w:sz w:val="20"/>
                <w:szCs w:val="20"/>
              </w:rPr>
              <w:t xml:space="preserve"> Zajednička lista robe vojne namene Evropske unije (EU) je spisak robe, tehnologija i opreme obuhvaćene Zajedničkim stavom EU o izvozu oružja.</w:t>
            </w:r>
            <w:r w:rsidRPr="00C23CD2">
              <w:rPr>
                <w:rStyle w:val="EndnoteReference"/>
                <w:rFonts w:ascii="Times New Roman" w:hAnsi="Times New Roman" w:cs="Times New Roman"/>
                <w:i/>
                <w:sz w:val="20"/>
                <w:szCs w:val="20"/>
              </w:rPr>
              <w:endnoteReference w:id="29"/>
            </w:r>
          </w:p>
        </w:tc>
      </w:tr>
      <w:tr w:rsidR="00493C38" w:rsidRPr="00642762" w14:paraId="5581F9FE" w14:textId="77777777" w:rsidTr="00D90FAB">
        <w:tc>
          <w:tcPr>
            <w:tcW w:w="1896" w:type="dxa"/>
          </w:tcPr>
          <w:p w14:paraId="221BAB79"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shd w:val="clear" w:color="auto" w:fill="FFFFFF"/>
              </w:rPr>
              <w:t>Nacionalni sistem kontrole trgovine oružjem</w:t>
            </w:r>
          </w:p>
        </w:tc>
        <w:tc>
          <w:tcPr>
            <w:tcW w:w="7842" w:type="dxa"/>
          </w:tcPr>
          <w:p w14:paraId="1A8E05D2" w14:textId="77777777" w:rsidR="00493C38" w:rsidRPr="00C23CD2" w:rsidRDefault="00493C38" w:rsidP="00D90FAB">
            <w:pPr>
              <w:jc w:val="both"/>
              <w:rPr>
                <w:rFonts w:ascii="Times New Roman" w:hAnsi="Times New Roman" w:cs="Times New Roman"/>
                <w:b/>
                <w:sz w:val="20"/>
                <w:szCs w:val="20"/>
                <w:shd w:val="clear" w:color="auto" w:fill="FFFFFF"/>
              </w:rPr>
            </w:pPr>
            <w:r>
              <w:rPr>
                <w:rFonts w:ascii="Times New Roman" w:hAnsi="Times New Roman"/>
                <w:sz w:val="20"/>
                <w:szCs w:val="20"/>
                <w:shd w:val="clear" w:color="auto" w:fill="FFFFFF"/>
              </w:rPr>
              <w:t>Nacionalni sistem zakona, politika, procedura i smernica koje za cilj imaju efektivno regulisanje i praćenje robe i tehnologije koja je u vezi sa trgovinom oružjem. Sveobuhvatni i delotvorni sistemi kontrole trgovine oružjem regulišu uvoz, izvoz, tranzit, pretovar, brokerske usluge i nevidljivi transfer određene robe, delova, komponenata, softvera i tehnologija u vezi sa oružjem.</w:t>
            </w:r>
          </w:p>
        </w:tc>
      </w:tr>
      <w:tr w:rsidR="00493C38" w:rsidRPr="00642762" w14:paraId="1AB4B3EE" w14:textId="77777777" w:rsidTr="00D90FAB">
        <w:tc>
          <w:tcPr>
            <w:tcW w:w="1896" w:type="dxa"/>
          </w:tcPr>
          <w:p w14:paraId="766061A8"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Delovi i komponente</w:t>
            </w:r>
          </w:p>
        </w:tc>
        <w:tc>
          <w:tcPr>
            <w:tcW w:w="7842" w:type="dxa"/>
          </w:tcPr>
          <w:p w14:paraId="6A8F68CF" w14:textId="77777777" w:rsidR="00493C38" w:rsidRPr="00C23CD2" w:rsidRDefault="00493C38" w:rsidP="00D90FAB">
            <w:pPr>
              <w:ind w:left="-16"/>
              <w:jc w:val="both"/>
              <w:rPr>
                <w:rFonts w:ascii="Times New Roman" w:hAnsi="Times New Roman" w:cs="Times New Roman"/>
                <w:sz w:val="20"/>
                <w:szCs w:val="20"/>
              </w:rPr>
            </w:pPr>
            <w:r>
              <w:rPr>
                <w:rFonts w:ascii="Times New Roman" w:hAnsi="Times New Roman"/>
                <w:sz w:val="20"/>
                <w:szCs w:val="20"/>
              </w:rPr>
              <w:t>„Delovi i komponente“ vatrenog oružja sastoje se od svih elemenata ili zamenskih elemenata koji su posebno osmišljeni/ konstruisani za vatreno oružje i nužni za njegov rad, uključujući cev, ram ili ležište zatvarača, navlaku ili bubanj, zatvarač ili sistem bravljenja, kao i svaki uređaj osmišljen/konstruisan ili prilagođen za smanjivanje buke izazvane pucnjem iz vatrenog oružja.</w:t>
            </w:r>
            <w:r w:rsidRPr="00C23CD2">
              <w:rPr>
                <w:rStyle w:val="EndnoteReference"/>
                <w:rFonts w:ascii="Times New Roman" w:hAnsi="Times New Roman" w:cs="Times New Roman"/>
                <w:sz w:val="20"/>
                <w:szCs w:val="20"/>
              </w:rPr>
              <w:endnoteReference w:id="30"/>
            </w:r>
            <w:r>
              <w:rPr>
                <w:rFonts w:ascii="Times New Roman" w:hAnsi="Times New Roman"/>
                <w:sz w:val="20"/>
                <w:szCs w:val="20"/>
              </w:rPr>
              <w:t xml:space="preserve"> Lista naoružanja i vojne opreme Vasenarskog aranžmana identifikuje komponente vojne opreme na osnovu pojedinačnih unosa.</w:t>
            </w:r>
          </w:p>
        </w:tc>
      </w:tr>
      <w:tr w:rsidR="00493C38" w:rsidRPr="00642762" w14:paraId="5AB831AC" w14:textId="77777777" w:rsidTr="00D90FAB">
        <w:tc>
          <w:tcPr>
            <w:tcW w:w="1896" w:type="dxa"/>
          </w:tcPr>
          <w:p w14:paraId="21676610"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Registracija</w:t>
            </w:r>
          </w:p>
        </w:tc>
        <w:tc>
          <w:tcPr>
            <w:tcW w:w="7842" w:type="dxa"/>
          </w:tcPr>
          <w:p w14:paraId="16C33AEC" w14:textId="77777777" w:rsidR="00493C38" w:rsidRPr="00C23CD2" w:rsidRDefault="00493C38" w:rsidP="00D90FAB">
            <w:pPr>
              <w:pStyle w:val="ListParagraph"/>
              <w:numPr>
                <w:ilvl w:val="0"/>
                <w:numId w:val="8"/>
              </w:numPr>
              <w:tabs>
                <w:tab w:val="left" w:pos="0"/>
              </w:tabs>
              <w:ind w:left="0" w:hanging="720"/>
              <w:contextualSpacing w:val="0"/>
              <w:jc w:val="both"/>
              <w:rPr>
                <w:rFonts w:ascii="Times New Roman" w:hAnsi="Times New Roman" w:cs="Times New Roman"/>
                <w:b/>
                <w:sz w:val="20"/>
                <w:szCs w:val="20"/>
              </w:rPr>
            </w:pPr>
            <w:r>
              <w:rPr>
                <w:rFonts w:ascii="Times New Roman" w:hAnsi="Times New Roman"/>
                <w:sz w:val="20"/>
                <w:szCs w:val="20"/>
              </w:rPr>
              <w:t>Evidentiranje pravnih i/ili fizičkih lica koja žele da se bave određenom vrstom trgovine, odnosno određenim delatnostima sa zvaničnog nacionalnog spiska ili popisa delatnosti. Regulatorni organi mogu zahtevati od podnosioca zahteva za registraciju da dostavi podatke koji se odnose na njegovo iskustvo, poslovne podatke, finansijske podatke, podatke o robi/proizvodima kojima želi da trguje, i eventualno poslovne reference. Regulatorni organi mogu zahtevati od podnosilaca zahteva da navedu svoju državu prebivališta i državljanstvo, vlasništvo nad bilo kojim subjektom ili uključenost u relevantne firme koje se mogu koristiti za olakšanje srodnih delatnosti, kao i niz, odnosno vrste proizvoda kojima podnosilac zahteva želi da se bavi. Registracija takođe može da uključi službenu proveru i potvrdu informacija koje je podnosilac zahteva dostavio. Ove provere mogu uključivati proveru da li se protiv podnosioca zahteva vodi krivični postupak ili da li je osuđivan, u skladu sa nacionalnom diskrecionom odlukom.</w:t>
            </w:r>
            <w:r w:rsidRPr="00C23CD2">
              <w:rPr>
                <w:rStyle w:val="EndnoteReference"/>
                <w:rFonts w:ascii="Times New Roman" w:hAnsi="Times New Roman" w:cs="Times New Roman"/>
                <w:sz w:val="20"/>
                <w:szCs w:val="20"/>
              </w:rPr>
              <w:endnoteReference w:id="31"/>
            </w:r>
            <w:r>
              <w:rPr>
                <w:rFonts w:ascii="Times New Roman" w:hAnsi="Times New Roman"/>
                <w:b/>
                <w:sz w:val="20"/>
                <w:szCs w:val="20"/>
              </w:rPr>
              <w:t xml:space="preserve"> </w:t>
            </w:r>
            <w:r>
              <w:rPr>
                <w:rFonts w:ascii="Times New Roman" w:hAnsi="Times New Roman"/>
                <w:sz w:val="20"/>
                <w:szCs w:val="20"/>
              </w:rPr>
              <w:t xml:space="preserve">In some countries, registration requirements only apply to arms manufacturers. U drugim zemljama, proizvođači robe dvostruke namene takođe se moraju registrovati kod nadležnih organa pre nego što podnesu zahtev za izdavanje dozvole za transakciju. * </w:t>
            </w:r>
            <w:r>
              <w:rPr>
                <w:rFonts w:ascii="Times New Roman" w:hAnsi="Times New Roman"/>
                <w:i/>
                <w:sz w:val="20"/>
                <w:szCs w:val="20"/>
              </w:rPr>
              <w:t>Obavezno proverite propise vaše zemlje u oblasti kontrole spoljne trgovine strateškom robom, kao i druge propise da biste utvrdili da li postoje zahtevi za registraciju za fizička ili pravna lica koja se bave prometom robe koja je povezana sa oružjem.</w:t>
            </w:r>
          </w:p>
        </w:tc>
      </w:tr>
      <w:tr w:rsidR="00493C38" w:rsidRPr="00642762" w14:paraId="015292CB" w14:textId="77777777" w:rsidTr="00D90FAB">
        <w:tc>
          <w:tcPr>
            <w:tcW w:w="1896" w:type="dxa"/>
          </w:tcPr>
          <w:p w14:paraId="67566754"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Srodne usluge</w:t>
            </w:r>
          </w:p>
        </w:tc>
        <w:tc>
          <w:tcPr>
            <w:tcW w:w="7842" w:type="dxa"/>
          </w:tcPr>
          <w:p w14:paraId="78C6E52B"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Pr>
                <w:rFonts w:ascii="Times New Roman" w:hAnsi="Times New Roman"/>
                <w:sz w:val="20"/>
                <w:szCs w:val="20"/>
              </w:rPr>
              <w:t>Odnosi se na srodne usluge koje se mogu pružati radi omogućavanja trgovinske transakcije, kao što su tehnička pomoć i usluge, obuka, transport, špedicija, skladištenje, finansiranje, osiguranje, održavanje i bezbednost.</w:t>
            </w:r>
            <w:r w:rsidRPr="00C23CD2">
              <w:rPr>
                <w:rStyle w:val="EndnoteReference"/>
                <w:rFonts w:ascii="Times New Roman" w:hAnsi="Times New Roman" w:cs="Times New Roman"/>
                <w:sz w:val="20"/>
                <w:szCs w:val="20"/>
              </w:rPr>
              <w:endnoteReference w:id="32"/>
            </w:r>
          </w:p>
        </w:tc>
      </w:tr>
      <w:tr w:rsidR="00493C38" w:rsidRPr="00642762" w14:paraId="3063ABAF" w14:textId="77777777" w:rsidTr="00D90FAB">
        <w:tc>
          <w:tcPr>
            <w:tcW w:w="1896" w:type="dxa"/>
          </w:tcPr>
          <w:p w14:paraId="57D62613"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Agensi/materije za suzbijanje nereda</w:t>
            </w:r>
          </w:p>
        </w:tc>
        <w:tc>
          <w:tcPr>
            <w:tcW w:w="7842" w:type="dxa"/>
          </w:tcPr>
          <w:p w14:paraId="4D7F86D0" w14:textId="77777777" w:rsidR="00493C38" w:rsidRPr="00C23CD2" w:rsidRDefault="00493C38" w:rsidP="00D90FAB">
            <w:pPr>
              <w:pStyle w:val="ListParagraph"/>
              <w:tabs>
                <w:tab w:val="left" w:pos="0"/>
              </w:tabs>
              <w:ind w:left="0"/>
              <w:contextualSpacing w:val="0"/>
              <w:jc w:val="both"/>
              <w:rPr>
                <w:rFonts w:ascii="Times New Roman" w:hAnsi="Times New Roman" w:cs="Times New Roman"/>
                <w:b/>
                <w:sz w:val="20"/>
                <w:szCs w:val="20"/>
              </w:rPr>
            </w:pPr>
            <w:r>
              <w:rPr>
                <w:rFonts w:ascii="Times New Roman" w:hAnsi="Times New Roman"/>
                <w:sz w:val="20"/>
                <w:szCs w:val="20"/>
              </w:rPr>
              <w:t>„Supstance koje, pod očekivanim uslovima primene u svrhe suzbijanja nereda, kod ljudi brzo proizvode iritaciju ili parališuće fizičko dejstvo, koji nestaju ubrzo nakon prestanka izloženosti dejstvu te supstance. (Suzavci su, na primer, podvrsta agenasa za suzbijanje nereda.)“</w:t>
            </w:r>
            <w:r w:rsidRPr="00C23CD2">
              <w:rPr>
                <w:rStyle w:val="EndnoteReference"/>
                <w:rFonts w:ascii="Times New Roman" w:hAnsi="Times New Roman" w:cs="Times New Roman"/>
                <w:sz w:val="20"/>
                <w:szCs w:val="20"/>
              </w:rPr>
              <w:endnoteReference w:id="33"/>
            </w:r>
          </w:p>
        </w:tc>
      </w:tr>
      <w:tr w:rsidR="00493C38" w:rsidRPr="00642762" w14:paraId="0A78EFBB" w14:textId="77777777" w:rsidTr="00D90FAB">
        <w:tc>
          <w:tcPr>
            <w:tcW w:w="1896" w:type="dxa"/>
          </w:tcPr>
          <w:p w14:paraId="7ABE3568"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Fiktivno preduzeće</w:t>
            </w:r>
          </w:p>
        </w:tc>
        <w:tc>
          <w:tcPr>
            <w:tcW w:w="7842" w:type="dxa"/>
          </w:tcPr>
          <w:p w14:paraId="6E13D901" w14:textId="77777777" w:rsidR="00493C38" w:rsidRPr="00554472" w:rsidRDefault="00493C38" w:rsidP="00D90FAB">
            <w:pPr>
              <w:pStyle w:val="ListParagraph"/>
              <w:tabs>
                <w:tab w:val="left" w:pos="0"/>
              </w:tabs>
              <w:ind w:left="-6"/>
              <w:contextualSpacing w:val="0"/>
              <w:jc w:val="both"/>
              <w:rPr>
                <w:rFonts w:ascii="Times New Roman" w:hAnsi="Times New Roman" w:cs="Times New Roman"/>
                <w:b/>
                <w:sz w:val="20"/>
                <w:szCs w:val="20"/>
              </w:rPr>
            </w:pPr>
            <w:r>
              <w:rPr>
                <w:rFonts w:ascii="Times New Roman" w:hAnsi="Times New Roman"/>
                <w:sz w:val="20"/>
                <w:szCs w:val="20"/>
              </w:rPr>
              <w:t>Fiktivno preduzeće je pravno lice koje služi kao sredstvo za poslovne transakcije, a da samo nema neku značajnu imovinu/sredstva, poslovanje ili zaposlene. Fiktivna preduzeća kojima se ne može ući u trag su privlačno sredstvo za one koji peru novac, za finansijere terorizma ili one koji žele da izbegnu međunarodne sankcije. Kriminalci mogu da koriste po nekoliko fiktivnih preduzeća kako bi zbunili istražitelje i zaštitili sebe od krivičnog gonjenja. Korišćenjem niza fiktivnih preduzeća tamo gde su administrativni kapaciteti i sprovođenje zakona slabi, odlučni proliferatori mogu da organizuju isporuku strateške robe neovlašćenim krajnjim korisnicima.</w:t>
            </w:r>
            <w:r w:rsidRPr="00554472">
              <w:rPr>
                <w:rStyle w:val="EndnoteReference"/>
                <w:rFonts w:ascii="Times New Roman" w:hAnsi="Times New Roman" w:cs="Times New Roman"/>
                <w:sz w:val="20"/>
                <w:szCs w:val="20"/>
              </w:rPr>
              <w:endnoteReference w:id="34"/>
            </w:r>
          </w:p>
        </w:tc>
      </w:tr>
      <w:tr w:rsidR="00493C38" w:rsidRPr="00642762" w14:paraId="0D2CE266" w14:textId="77777777" w:rsidTr="00D90FAB">
        <w:tc>
          <w:tcPr>
            <w:tcW w:w="1896" w:type="dxa"/>
          </w:tcPr>
          <w:p w14:paraId="5C918FDB"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t>Malokalibarsko i lako oružje (SALW)</w:t>
            </w:r>
          </w:p>
        </w:tc>
        <w:tc>
          <w:tcPr>
            <w:tcW w:w="7842" w:type="dxa"/>
          </w:tcPr>
          <w:p w14:paraId="5748A3DE" w14:textId="77777777" w:rsidR="00493C38" w:rsidRPr="00C23CD2" w:rsidRDefault="00493C38" w:rsidP="00D90FAB">
            <w:pPr>
              <w:pStyle w:val="ListParagraph"/>
              <w:tabs>
                <w:tab w:val="left" w:pos="0"/>
              </w:tabs>
              <w:ind w:left="-16"/>
              <w:contextualSpacing w:val="0"/>
              <w:jc w:val="both"/>
              <w:rPr>
                <w:rFonts w:ascii="Times New Roman" w:hAnsi="Times New Roman" w:cs="Times New Roman"/>
                <w:b/>
                <w:sz w:val="20"/>
                <w:szCs w:val="20"/>
              </w:rPr>
            </w:pPr>
            <w:r>
              <w:rPr>
                <w:rFonts w:ascii="Times New Roman" w:hAnsi="Times New Roman"/>
                <w:sz w:val="20"/>
                <w:szCs w:val="20"/>
                <w:shd w:val="clear" w:color="auto" w:fill="FFFFFF"/>
              </w:rPr>
              <w:t>Uključuje civilno, privatno i vojno oružje koje iz cevi izbacuje projektil, pod uslovom da komad tog oružja ili sistem može nositi pojedinac, mali broj ljudi ili da se taj komad oružja ili sistem mogu trasportovati tovarnim grlom ili nekim lakim vozilom.</w:t>
            </w:r>
            <w:r w:rsidRPr="00C23CD2">
              <w:rPr>
                <w:rStyle w:val="EndnoteReference"/>
                <w:rFonts w:ascii="Times New Roman" w:hAnsi="Times New Roman" w:cs="Times New Roman"/>
                <w:sz w:val="20"/>
                <w:szCs w:val="20"/>
                <w:shd w:val="clear" w:color="auto" w:fill="FFFFFF"/>
              </w:rPr>
              <w:endnoteReference w:id="35"/>
            </w:r>
          </w:p>
          <w:p w14:paraId="18C3574A" w14:textId="77777777" w:rsidR="00493C38" w:rsidRPr="00C23CD2" w:rsidRDefault="00493C38" w:rsidP="00D90FAB">
            <w:pPr>
              <w:pStyle w:val="ListParagraph"/>
              <w:numPr>
                <w:ilvl w:val="0"/>
                <w:numId w:val="9"/>
              </w:numPr>
              <w:tabs>
                <w:tab w:val="left" w:pos="0"/>
              </w:tabs>
              <w:spacing w:before="120" w:after="120"/>
              <w:contextualSpacing w:val="0"/>
              <w:jc w:val="both"/>
              <w:rPr>
                <w:rFonts w:ascii="Times New Roman" w:hAnsi="Times New Roman" w:cs="Times New Roman"/>
                <w:b/>
                <w:sz w:val="20"/>
                <w:szCs w:val="20"/>
              </w:rPr>
            </w:pPr>
            <w:r>
              <w:rPr>
                <w:rFonts w:ascii="Times New Roman" w:hAnsi="Times New Roman"/>
                <w:b/>
                <w:sz w:val="20"/>
                <w:szCs w:val="20"/>
              </w:rPr>
              <w:lastRenderedPageBreak/>
              <w:t>Malokalibarsko oružje</w:t>
            </w:r>
            <w:r>
              <w:rPr>
                <w:rFonts w:ascii="Times New Roman" w:hAnsi="Times New Roman"/>
                <w:sz w:val="20"/>
                <w:szCs w:val="20"/>
              </w:rPr>
              <w:t xml:space="preserve"> </w:t>
            </w:r>
            <w:r>
              <w:rPr>
                <w:rFonts w:ascii="Times New Roman" w:hAnsi="Times New Roman"/>
                <w:sz w:val="20"/>
                <w:szCs w:val="20"/>
                <w:shd w:val="clear" w:color="auto" w:fill="FFFFFF"/>
              </w:rPr>
              <w:t>Revolveri i samopunjivi pištolji, puške i karabini,</w:t>
            </w:r>
            <w:r>
              <w:rPr>
                <w:rStyle w:val="apple-converted-space"/>
                <w:rFonts w:ascii="Times New Roman" w:hAnsi="Times New Roman"/>
                <w:sz w:val="20"/>
                <w:szCs w:val="20"/>
                <w:shd w:val="clear" w:color="auto" w:fill="FFFFFF"/>
              </w:rPr>
              <w:t xml:space="preserve"> </w:t>
            </w:r>
            <w:r>
              <w:rPr>
                <w:rFonts w:ascii="Times New Roman" w:hAnsi="Times New Roman"/>
                <w:sz w:val="20"/>
                <w:szCs w:val="20"/>
                <w:shd w:val="clear" w:color="auto" w:fill="FFFFFF"/>
              </w:rPr>
              <w:t>automatske puške, automati i laki mitraljezi.</w:t>
            </w:r>
            <w:r w:rsidRPr="00C23CD2">
              <w:rPr>
                <w:rStyle w:val="EndnoteReference"/>
                <w:rFonts w:ascii="Times New Roman" w:hAnsi="Times New Roman" w:cs="Times New Roman"/>
                <w:sz w:val="20"/>
                <w:szCs w:val="20"/>
                <w:shd w:val="clear" w:color="auto" w:fill="FFFFFF"/>
              </w:rPr>
              <w:endnoteReference w:id="36"/>
            </w:r>
          </w:p>
          <w:p w14:paraId="18F86AFB" w14:textId="77777777" w:rsidR="00493C38" w:rsidRPr="00C23CD2" w:rsidRDefault="00493C38" w:rsidP="00D90FAB">
            <w:pPr>
              <w:pStyle w:val="ListParagraph"/>
              <w:numPr>
                <w:ilvl w:val="0"/>
                <w:numId w:val="9"/>
              </w:numPr>
              <w:tabs>
                <w:tab w:val="left" w:pos="0"/>
              </w:tabs>
              <w:spacing w:before="120" w:after="120"/>
              <w:contextualSpacing w:val="0"/>
              <w:jc w:val="both"/>
              <w:rPr>
                <w:rFonts w:ascii="Times New Roman" w:hAnsi="Times New Roman" w:cs="Times New Roman"/>
                <w:b/>
                <w:sz w:val="20"/>
                <w:szCs w:val="20"/>
              </w:rPr>
            </w:pPr>
            <w:r>
              <w:rPr>
                <w:rFonts w:ascii="Times New Roman" w:hAnsi="Times New Roman"/>
                <w:b/>
                <w:sz w:val="20"/>
                <w:szCs w:val="20"/>
              </w:rPr>
              <w:t xml:space="preserve">Lako oružje: </w:t>
            </w:r>
            <w:r>
              <w:rPr>
                <w:rFonts w:ascii="Times New Roman" w:hAnsi="Times New Roman"/>
                <w:sz w:val="20"/>
                <w:szCs w:val="20"/>
                <w:shd w:val="clear" w:color="auto" w:fill="FFFFFF"/>
              </w:rPr>
              <w:t>teški mitraljezi, ručni/ potcevni bacači granata i bacači granata koji se mogu montirati na vozila, ručni/ protivvazduhoplovni topovi, bestrzajne puške, ručni lanseri</w:t>
            </w:r>
            <w:r>
              <w:rPr>
                <w:rStyle w:val="apple-converted-space"/>
                <w:rFonts w:ascii="Times New Roman" w:hAnsi="Times New Roman"/>
                <w:sz w:val="20"/>
                <w:szCs w:val="20"/>
                <w:shd w:val="clear" w:color="auto" w:fill="FFFFFF"/>
              </w:rPr>
              <w:t xml:space="preserve"> </w:t>
            </w:r>
            <w:r>
              <w:rPr>
                <w:rFonts w:ascii="Times New Roman" w:hAnsi="Times New Roman"/>
                <w:sz w:val="20"/>
                <w:szCs w:val="20"/>
                <w:shd w:val="clear" w:color="auto" w:fill="FFFFFF"/>
              </w:rPr>
              <w:t>protivoklopnih projektila</w:t>
            </w:r>
            <w:r>
              <w:rPr>
                <w:rStyle w:val="apple-converted-space"/>
                <w:rFonts w:ascii="Times New Roman" w:hAnsi="Times New Roman"/>
                <w:sz w:val="20"/>
                <w:szCs w:val="20"/>
                <w:shd w:val="clear" w:color="auto" w:fill="FFFFFF"/>
              </w:rPr>
              <w:t xml:space="preserve"> </w:t>
            </w:r>
            <w:r>
              <w:rPr>
                <w:rFonts w:ascii="Times New Roman" w:hAnsi="Times New Roman"/>
                <w:sz w:val="20"/>
                <w:szCs w:val="20"/>
                <w:shd w:val="clear" w:color="auto" w:fill="FFFFFF"/>
              </w:rPr>
              <w:t>i raketni sistemi; ručni raketni sistemi za protivvazdušnu odbranu (MANPADS) i</w:t>
            </w:r>
            <w:r>
              <w:rPr>
                <w:rStyle w:val="apple-converted-space"/>
                <w:rFonts w:ascii="Times New Roman" w:hAnsi="Times New Roman"/>
                <w:sz w:val="20"/>
                <w:szCs w:val="20"/>
                <w:shd w:val="clear" w:color="auto" w:fill="FFFFFF"/>
              </w:rPr>
              <w:t xml:space="preserve"> </w:t>
            </w:r>
            <w:r>
              <w:rPr>
                <w:rFonts w:ascii="Times New Roman" w:hAnsi="Times New Roman"/>
                <w:sz w:val="20"/>
                <w:szCs w:val="20"/>
                <w:shd w:val="clear" w:color="auto" w:fill="FFFFFF"/>
              </w:rPr>
              <w:t>minobacači</w:t>
            </w:r>
            <w:r>
              <w:rPr>
                <w:rFonts w:ascii="Times New Roman" w:hAnsi="Times New Roman"/>
                <w:sz w:val="20"/>
                <w:szCs w:val="20"/>
              </w:rPr>
              <w:t xml:space="preserve"> </w:t>
            </w:r>
            <w:r>
              <w:rPr>
                <w:rFonts w:ascii="Times New Roman" w:hAnsi="Times New Roman"/>
                <w:sz w:val="20"/>
                <w:szCs w:val="20"/>
                <w:shd w:val="clear" w:color="auto" w:fill="FFFFFF"/>
              </w:rPr>
              <w:t>kalibra manjeg od 100 mm.</w:t>
            </w:r>
            <w:r w:rsidRPr="00C23CD2">
              <w:rPr>
                <w:rStyle w:val="EndnoteReference"/>
                <w:rFonts w:ascii="Times New Roman" w:hAnsi="Times New Roman" w:cs="Times New Roman"/>
                <w:sz w:val="20"/>
                <w:szCs w:val="20"/>
                <w:shd w:val="clear" w:color="auto" w:fill="FFFFFF"/>
              </w:rPr>
              <w:endnoteReference w:id="37"/>
            </w:r>
          </w:p>
        </w:tc>
      </w:tr>
      <w:tr w:rsidR="00493C38" w:rsidRPr="00642762" w14:paraId="5E862B7B" w14:textId="77777777" w:rsidTr="00D90FAB">
        <w:tc>
          <w:tcPr>
            <w:tcW w:w="1896" w:type="dxa"/>
          </w:tcPr>
          <w:p w14:paraId="0DF613E9"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b/>
                <w:sz w:val="20"/>
                <w:szCs w:val="20"/>
              </w:rPr>
              <w:lastRenderedPageBreak/>
              <w:t>Poreski raj</w:t>
            </w:r>
          </w:p>
        </w:tc>
        <w:tc>
          <w:tcPr>
            <w:tcW w:w="7842" w:type="dxa"/>
          </w:tcPr>
          <w:p w14:paraId="3466959B" w14:textId="77777777" w:rsidR="00493C38" w:rsidRPr="00554472" w:rsidRDefault="00493C38" w:rsidP="00D90FAB">
            <w:pPr>
              <w:pStyle w:val="ListParagraph"/>
              <w:tabs>
                <w:tab w:val="left" w:pos="0"/>
              </w:tabs>
              <w:ind w:left="-16"/>
              <w:contextualSpacing w:val="0"/>
              <w:jc w:val="both"/>
              <w:rPr>
                <w:rFonts w:ascii="Times New Roman" w:hAnsi="Times New Roman" w:cs="Times New Roman"/>
                <w:sz w:val="20"/>
                <w:szCs w:val="20"/>
                <w:shd w:val="clear" w:color="auto" w:fill="FFFFFF"/>
              </w:rPr>
            </w:pPr>
            <w:r>
              <w:rPr>
                <w:rFonts w:ascii="Times New Roman" w:hAnsi="Times New Roman"/>
                <w:sz w:val="20"/>
                <w:szCs w:val="20"/>
              </w:rPr>
              <w:t>Politički, odnosno ekonomski subjekt koji ima mali ili nikakav porez na prihod ili kapitalnu dobit iz stranih izvora, te stoga predstavlja privlačno mesto za one koji žele da zaštite svoja sredstva. Centralno obeležje poreskog raja je to što se njegovi zakoni i druge mere mogu koristiti za izbegavanje fiskalnih zakona i propisa drugih nadležnosti.</w:t>
            </w:r>
            <w:r w:rsidRPr="00554472">
              <w:rPr>
                <w:rStyle w:val="EndnoteReference"/>
                <w:rFonts w:ascii="Times New Roman" w:hAnsi="Times New Roman" w:cs="Times New Roman"/>
                <w:sz w:val="20"/>
                <w:szCs w:val="20"/>
              </w:rPr>
              <w:endnoteReference w:id="38"/>
            </w:r>
            <w:r>
              <w:rPr>
                <w:rFonts w:ascii="Times New Roman" w:hAnsi="Times New Roman"/>
                <w:sz w:val="20"/>
                <w:szCs w:val="20"/>
              </w:rPr>
              <w:t xml:space="preserve"> Poreske rajeve odlikuju slabi regulatorni sistemi, slabe procedure za izdavanje dozvola, slaba carinska kontrola i neadekvatni kapacitet za sprovođenje zakona. Relativno mala ograničenja koja se primenjuju na finansijske transakcije ili korporativnu delatnost u poreskim rajevima omogućavaju poverljive novčane transakcije i sprečavaju identifikaciju i praćenje subjekata uključenih u transfere oružja. Poreske rajeve često koriste beskrupulozni brokeri, prevoznici i transportna preduzeća kao pogodno odredište za pranje novca i utaju poreza.</w:t>
            </w:r>
            <w:r w:rsidRPr="00554472">
              <w:rPr>
                <w:rStyle w:val="EndnoteReference"/>
                <w:rFonts w:ascii="Times New Roman" w:hAnsi="Times New Roman" w:cs="Times New Roman"/>
                <w:sz w:val="20"/>
                <w:szCs w:val="20"/>
              </w:rPr>
              <w:endnoteReference w:id="39"/>
            </w:r>
          </w:p>
        </w:tc>
      </w:tr>
    </w:tbl>
    <w:p w14:paraId="5C3EF528" w14:textId="77777777" w:rsidR="00493C38" w:rsidRDefault="00493C38" w:rsidP="00493C38">
      <w:pPr>
        <w:spacing w:after="0" w:line="240" w:lineRule="auto"/>
        <w:jc w:val="both"/>
        <w:rPr>
          <w:rFonts w:ascii="Times New Roman" w:hAnsi="Times New Roman" w:cs="Times New Roman"/>
          <w:sz w:val="20"/>
          <w:szCs w:val="20"/>
        </w:rPr>
      </w:pPr>
    </w:p>
    <w:p w14:paraId="764FF9D0" w14:textId="77777777" w:rsidR="00493C38" w:rsidRPr="00F9335E" w:rsidRDefault="00493C38" w:rsidP="00493C38">
      <w:pPr>
        <w:rPr>
          <w:rFonts w:ascii="Times New Roman" w:hAnsi="Times New Roman" w:cs="Times New Roman"/>
          <w:sz w:val="20"/>
          <w:szCs w:val="20"/>
        </w:rPr>
      </w:pPr>
      <w:r>
        <w:br w:type="page"/>
      </w:r>
    </w:p>
    <w:p w14:paraId="76B96DB3" w14:textId="67B82296" w:rsidR="0040609C" w:rsidRPr="00493C38" w:rsidRDefault="0040609C" w:rsidP="00493C38"/>
    <w:sectPr w:rsidR="0040609C" w:rsidRPr="00493C38">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A5CF" w14:textId="77777777" w:rsidR="00B96418" w:rsidRDefault="00B96418" w:rsidP="006F2B1A">
      <w:pPr>
        <w:spacing w:after="0" w:line="240" w:lineRule="auto"/>
      </w:pPr>
      <w:r>
        <w:separator/>
      </w:r>
    </w:p>
  </w:endnote>
  <w:endnote w:type="continuationSeparator" w:id="0">
    <w:p w14:paraId="11D94F69" w14:textId="77777777" w:rsidR="00B96418" w:rsidRDefault="00B96418" w:rsidP="006F2B1A">
      <w:pPr>
        <w:spacing w:after="0" w:line="240" w:lineRule="auto"/>
      </w:pPr>
      <w:r>
        <w:continuationSeparator/>
      </w:r>
    </w:p>
  </w:endnote>
  <w:endnote w:id="1">
    <w:p w14:paraId="50A6FF9F"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Obuhvata kompletne uređaje (projektile, zrna, mine itd.) napunjene eksplozivima, potisnim eksplozivima, pirotehničkim sredstvima, inicijalnim punjenjem ili nuklearnim, biološkim ili hemijskim materijalom, koji se koriste za napad, odbranu, obuku ili neoperativne svrhe, uključujući i one delove oružanih sistema koji sadrže eksplozive. Videti "United Nations International Ammunition Technical Guideline (IATG) Glossary of Terms, Definitions and Abbreviations," United Nations Office for Disarmament Affairs (UNODA), October 1, 2011, &lt;www.un.org/disarmament/convarms/Ammunition/IATG/docs/IATG01.40.pdf&gt;.</w:t>
      </w:r>
    </w:p>
  </w:endnote>
  <w:endnote w:id="2">
    <w:p w14:paraId="31A9607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"OSCE Handbook of Best Practices on Conventional Ammunition,” Organization for Security and Co-operation in Europe (OSCE), 2008, &lt;www.osce.org/fsc/33371?download=true&gt;.</w:t>
      </w:r>
    </w:p>
  </w:endnote>
  <w:endnote w:id="3">
    <w:p w14:paraId="49E75A33"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“Report of Governmental Experts on Small Arms”, A/52/298, Articles 26c and 27, United Nations, August 1997, &lt;http://www.un.org/Depts/ddar/Firstcom/SGreport52/a52298.html&gt;.</w:t>
      </w:r>
    </w:p>
  </w:endnote>
  <w:endnote w:id="4">
    <w:p w14:paraId="4B7C389C"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Protocol against the Illicit Manufacturing of and Trafficking in Firearms, Their Parts and Components and Ammunition, Article 3a, &lt;https://treaties.un.org/doc/source/RecentTexts/18-12_c_E.pdf&gt;.</w:t>
      </w:r>
    </w:p>
  </w:endnote>
  <w:endnote w:id="5">
    <w:p w14:paraId="77948997"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olor w:val="222222"/>
          <w:sz w:val="18"/>
          <w:szCs w:val="18"/>
          <w:shd w:val="clear" w:color="auto" w:fill="FFFFFF"/>
        </w:rPr>
        <w:t xml:space="preserve"> UN dokument A/62/163: </w:t>
      </w:r>
      <w:r>
        <w:rPr>
          <w:rFonts w:ascii="Times New Roman" w:hAnsi="Times New Roman"/>
          <w:sz w:val="18"/>
          <w:szCs w:val="18"/>
        </w:rPr>
        <w:t>Izveštaj Grupe vladinih stručnjaka osnovane u skladu sa rezolucijom Generalne skupštine UN 60/81 u cilju razmatranja daljih koraka za unapređenje međunarodne saradnje u sprečavanju, suzbijanju i iskorenjivanju nezakonitih brokerskih usluga u oblasti malokalibarskog i lakog oružja, Generalna skupština Ujedinjenih nacija, 30. avgust 2007, &lt;www.poa-iss.org/BrokeringControls/English_N0744232.pdf&gt;.</w:t>
      </w:r>
    </w:p>
  </w:endnote>
  <w:endnote w:id="6">
    <w:p w14:paraId="186F6CA7"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i/>
          <w:sz w:val="18"/>
          <w:szCs w:val="18"/>
        </w:rPr>
        <w:t>Small Arms Survey 2001: Profiling the Problem</w:t>
      </w:r>
      <w:r>
        <w:rPr>
          <w:rFonts w:ascii="Times New Roman" w:hAnsi="Times New Roman"/>
          <w:sz w:val="18"/>
          <w:szCs w:val="18"/>
        </w:rPr>
        <w:t xml:space="preserve">, Graduate Institute of International Studies, Geneva, Oxford University Press, 2001, Chapter 3, &lt;http://www.smallarmssurvey.org/publications/by-type/yearbook/small-arms-survey-2001.html#c2973&gt;. </w:t>
      </w:r>
    </w:p>
  </w:endnote>
  <w:endnote w:id="7">
    <w:p w14:paraId="05A813D2"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“Developing a Mechanism to Prevent Illicit Brokering in Small Arms and Light Weapons: Scope and Implications,” United Nations Institute for Disarmament Research (UNIDR), 2006, &lt;www.unidir.org/files/publications/pdfs/developing-a-mechanism-to-prevent-illicit-brokering-in-small-arms-and-light-weapons-scope-and-implications-328.pdf&gt;; Holder Anders and Silvia Catteneo, “Taking Stock and Moving Forward the United Nations Process," Groupe de Recherche et d'Information sur la Paix et la Securité (GRIP) Report, 2005, &lt;http://issat.dcaf.ch/content/download/9789/93715/file/Anders-Cattaneo2005-hs1.pdf&gt;</w:t>
      </w:r>
      <w:r>
        <w:rPr>
          <w:rStyle w:val="Hyperlink"/>
          <w:rFonts w:ascii="Times New Roman" w:hAnsi="Times New Roman"/>
          <w:sz w:val="18"/>
          <w:szCs w:val="18"/>
        </w:rPr>
        <w:t>.</w:t>
      </w:r>
    </w:p>
  </w:endnote>
  <w:endnote w:id="8">
    <w:p w14:paraId="1C0D07E7" w14:textId="77777777" w:rsidR="00493C38" w:rsidRPr="00FC6D7D" w:rsidRDefault="00493C38" w:rsidP="00493C38">
      <w:pPr>
        <w:tabs>
          <w:tab w:val="left" w:pos="3807"/>
        </w:tabs>
        <w:spacing w:after="0" w:line="240" w:lineRule="auto"/>
        <w:rPr>
          <w:rFonts w:ascii="Times New Roman" w:hAnsi="Times New Roman" w:cs="Times New Roman"/>
          <w:sz w:val="18"/>
          <w:szCs w:val="18"/>
          <w:u w:val="single"/>
        </w:rPr>
      </w:pPr>
      <w:r>
        <w:rPr>
          <w:rStyle w:val="EndnoteReference"/>
          <w:rFonts w:ascii="Times New Roman" w:hAnsi="Times New Roman" w:cs="Times New Roman"/>
          <w:sz w:val="18"/>
          <w:szCs w:val="18"/>
        </w:rPr>
        <w:endnoteRef/>
      </w:r>
      <w:r>
        <w:rPr>
          <w:rFonts w:ascii="Times New Roman" w:hAnsi="Times New Roman"/>
          <w:sz w:val="18"/>
          <w:szCs w:val="18"/>
        </w:rPr>
        <w:t xml:space="preserve"> EU Common Position on Arms Brokering, Articles 2 and 3, </w:t>
      </w:r>
      <w:r>
        <w:rPr>
          <w:rFonts w:ascii="Times New Roman" w:hAnsi="Times New Roman"/>
          <w:i/>
          <w:sz w:val="18"/>
          <w:szCs w:val="18"/>
        </w:rPr>
        <w:t>Official Journal of the European Union</w:t>
      </w:r>
      <w:r>
        <w:rPr>
          <w:rFonts w:ascii="Times New Roman" w:hAnsi="Times New Roman"/>
          <w:sz w:val="18"/>
          <w:szCs w:val="18"/>
        </w:rPr>
        <w:t>, June 23, 2003, &lt;http://eur-lex.europa.eu/LexUriServ/LexUriServ.do?uri=OJ:L:2003:156:0079:0080:En:PDF&gt;. OEBS i Zajednički stav Evropske unije (UN) o posredovanju u trgovini oružjem definišu posrednike u trgovini oružjem kao fizička ili pravna lica koja pregovaraju ili dogovaraju transakcije koje mogu da obuhvataju prenos robe sa Zajedničke liste robe vojne namene EU iz neke treće zemlje u neku drugu treću zemlju; ili fizička i pravna lica koja kupuju, prodaju ili dogovaraju transfer te robe koja je u njihovom vlasništvu iz neke treće zemlje u bilo koju drugu treću zemlju.</w:t>
      </w:r>
    </w:p>
  </w:endnote>
  <w:endnote w:id="9">
    <w:p w14:paraId="3AF4EDA1"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“Developing a Mechanism to Prevent Illicit Brokering in Small Arms and Light Weapons: Scope and Implications,” UNIDR, 2006.</w:t>
      </w:r>
      <w:r>
        <w:rPr>
          <w:rFonts w:ascii="Times New Roman" w:hAnsi="Times New Roman"/>
          <w:color w:val="0070C0"/>
          <w:sz w:val="18"/>
          <w:szCs w:val="18"/>
        </w:rPr>
        <w:t xml:space="preserve">  </w:t>
      </w:r>
    </w:p>
  </w:endnote>
  <w:endnote w:id="10">
    <w:p w14:paraId="614D029E"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i/>
          <w:sz w:val="18"/>
          <w:szCs w:val="18"/>
        </w:rPr>
        <w:t>Small Arms Survey 2001: Profiling the Problem</w:t>
      </w:r>
      <w:r>
        <w:rPr>
          <w:rFonts w:ascii="Times New Roman" w:hAnsi="Times New Roman"/>
          <w:sz w:val="18"/>
          <w:szCs w:val="18"/>
        </w:rPr>
        <w:t>, 2001, str. 129.</w:t>
      </w:r>
    </w:p>
  </w:endnote>
  <w:endnote w:id="11">
    <w:p w14:paraId="626A4C06"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“Arms Embargo: Explanation of Terms,” United Nations Sanctions Committee 1267, December 30, 2013, &lt;www.un.org/sc/committees/1267/pdf/EOT%20Arms%20embargo_ENGLISH.pdf&gt;.</w:t>
      </w:r>
    </w:p>
  </w:endnote>
  <w:endnote w:id="12">
    <w:p w14:paraId="22F38036"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Charter of the United Nations, Article 41, United Nations, &lt;https://www.un.org/en/documents/charter/&gt;.</w:t>
      </w:r>
    </w:p>
  </w:endnote>
  <w:endnote w:id="13">
    <w:p w14:paraId="728A5F05"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Paul Holtom and Mark Bromley, “The International Arms Trade: Difficult to Define, Measure, and Control,” </w:t>
      </w:r>
      <w:r>
        <w:rPr>
          <w:rFonts w:ascii="Times New Roman" w:hAnsi="Times New Roman"/>
          <w:i/>
          <w:sz w:val="18"/>
          <w:szCs w:val="18"/>
        </w:rPr>
        <w:t>Arms Control Today</w:t>
      </w:r>
      <w:r>
        <w:rPr>
          <w:rFonts w:ascii="Times New Roman" w:hAnsi="Times New Roman"/>
          <w:sz w:val="18"/>
          <w:szCs w:val="18"/>
        </w:rPr>
        <w:t>, July/August 2010, &lt;http://www.armscontrol.org/act/2010_07-08/holtom-bromley#3&gt;.</w:t>
      </w:r>
    </w:p>
  </w:endnote>
  <w:endnote w:id="14">
    <w:p w14:paraId="416C46F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“Nobel Peace Laureates' International Code of Conduct on Arms Transfers May 1997,” Nuclear Age Peace Foundation, 1997, &lt;https://www.wagingpeace.org/articles/1997/05/00_nobel-code-conduct.htm&gt;.</w:t>
      </w:r>
    </w:p>
  </w:endnote>
  <w:endnote w:id="15">
    <w:p w14:paraId="71EC41A2"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i/>
          <w:sz w:val="18"/>
          <w:szCs w:val="18"/>
        </w:rPr>
        <w:t>Small Arms Survey 2001: Profiling the Problem</w:t>
      </w:r>
      <w:r>
        <w:rPr>
          <w:rFonts w:ascii="Times New Roman" w:hAnsi="Times New Roman"/>
          <w:sz w:val="18"/>
          <w:szCs w:val="18"/>
        </w:rPr>
        <w:t>, 2001, str. 167.</w:t>
      </w:r>
    </w:p>
  </w:endnote>
  <w:endnote w:id="16">
    <w:p w14:paraId="0F9EC902"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“The Illicit Arms Trade,” Federation of American Scientists (FAS), Issue Brief # 3, 2008, &lt;http://www.fas.org/asmp/campaigns/smallarms/IssueBrief3ArmsTrafficking.html#ter&gt;, and </w:t>
      </w:r>
      <w:r>
        <w:rPr>
          <w:rFonts w:ascii="Times New Roman" w:hAnsi="Times New Roman"/>
          <w:i/>
          <w:sz w:val="18"/>
          <w:szCs w:val="18"/>
        </w:rPr>
        <w:t>Small Arms Survey 2001: Profiling the Problem</w:t>
      </w:r>
      <w:r>
        <w:rPr>
          <w:rFonts w:ascii="Times New Roman" w:hAnsi="Times New Roman"/>
          <w:sz w:val="18"/>
          <w:szCs w:val="18"/>
        </w:rPr>
        <w:t>, 2001, Chapter 5.</w:t>
      </w:r>
    </w:p>
  </w:endnote>
  <w:endnote w:id="17">
    <w:p w14:paraId="59920D71"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“Developing a Mechanism to Prevent Illicit Brokering in Small Arms and Light Weapons: Scope and Implications,” UNIDR, 2006. </w:t>
      </w:r>
    </w:p>
  </w:endnote>
  <w:endnote w:id="18">
    <w:p w14:paraId="531A9F56"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“List of National Reports by Submitting Member States,” UNSCR 1540 Committee, 2013, &lt;http://www.un.org/en/ga/search/view_doc.asp?symbol=S/RES/1540(2004)&gt;.</w:t>
      </w:r>
    </w:p>
  </w:endnote>
  <w:endnote w:id="19">
    <w:p w14:paraId="3F5F86A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https://books.google.com/books?id=LNRMAgAAQBAJ&amp;pg=PA345&amp;lpg=PA345&amp;dq=%22Delivery+Verification+Certificate%22+AND+Export+Controls&amp;source=bl&amp;ots=jxTL0w8ugX&amp;sig=xQ1R8wSiL4NmUHYHdSHlVaosJCk&amp;hl=en&amp;sa=X&amp;ved=0ahUKEwiUvIqb8JPNAhUGWSYKHbV9CjA4ChDoAQgoMAA#v=onepage&amp;q=%22Delivery%20Verification%20Certificate%22%20AND%20Export%20Controls&amp;f=false</w:t>
      </w:r>
    </w:p>
  </w:endnote>
  <w:endnote w:id="20">
    <w:p w14:paraId="4EBE6BEB"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https://www.law.cornell.edu/uscode/text/22/8543</w:t>
      </w:r>
    </w:p>
  </w:endnote>
  <w:endnote w:id="21">
    <w:p w14:paraId="7A3F04B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"Definitions of Terms in these Lists," Wassenaar Arrangement, CTP, 2016, &lt;http://wa.ctp-inc.com/index/index/view/content/page/Definitions.html&gt;.</w:t>
      </w:r>
    </w:p>
  </w:endnote>
  <w:endnote w:id="22">
    <w:p w14:paraId="5EA5B5DA"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color w:val="222222"/>
          <w:sz w:val="18"/>
          <w:szCs w:val="18"/>
          <w:shd w:val="clear" w:color="auto" w:fill="FFFFFF"/>
        </w:rPr>
        <w:t xml:space="preserve">Dokument UN A/62/163: </w:t>
      </w:r>
      <w:r>
        <w:rPr>
          <w:rFonts w:ascii="Times New Roman" w:hAnsi="Times New Roman"/>
          <w:sz w:val="18"/>
          <w:szCs w:val="18"/>
        </w:rPr>
        <w:t>Izveštaj Grupe vladinih stručnjaka osnovane u skladu sa rezolucijom Generalne skupštine UN 60/81 u cilju razmatranja daljih koraka za unapređenje međunarodne saradnje u sprečavanju, suzbijanju i iskorenjivanju nezakonitih brokerskih usluga u oblasti malokalibarskog i lakog oružja, Generalna skupština Ujedinjenih nacija, 30. avgust 2007.</w:t>
      </w:r>
    </w:p>
  </w:endnote>
  <w:endnote w:id="23">
    <w:p w14:paraId="163E5B51"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“Developing a Mechanism to Prevent Illicit Brokering in Small Arms and Light Weapons: Scope and Implications,” UNIDR, 2006.</w:t>
      </w:r>
    </w:p>
  </w:endnote>
  <w:endnote w:id="24">
    <w:p w14:paraId="7141F436"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Protokol protiv nezakonite proizvodnje i trgovine vatrenim oružjem, njegovim delovima i komponentama i municijom, član 3a. </w:t>
      </w:r>
    </w:p>
  </w:endnote>
  <w:endnote w:id="25">
    <w:p w14:paraId="0A42A7E4"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Rosenberg, </w:t>
      </w:r>
      <w:r>
        <w:rPr>
          <w:rFonts w:ascii="Times New Roman" w:hAnsi="Times New Roman"/>
          <w:i/>
          <w:sz w:val="18"/>
          <w:szCs w:val="18"/>
        </w:rPr>
        <w:t>The Essential Dictionary of International Trade</w:t>
      </w:r>
      <w:r>
        <w:rPr>
          <w:rFonts w:ascii="Times New Roman" w:hAnsi="Times New Roman"/>
          <w:sz w:val="18"/>
          <w:szCs w:val="18"/>
        </w:rPr>
        <w:t>, 2004, p. 184.</w:t>
      </w:r>
    </w:p>
  </w:endnote>
  <w:endnote w:id="26">
    <w:p w14:paraId="3A2F9B70"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http://www.unzco.com/infosource/glossary.htm#B</w:t>
      </w:r>
    </w:p>
  </w:endnote>
  <w:endnote w:id="27">
    <w:p w14:paraId="4F6AE7B6"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“United Nations International Ammunition Technical Guideline (IATG) Glossary of Terms, Definitions and Abbreviations,” UNODA, October 1, 2011.</w:t>
      </w:r>
    </w:p>
  </w:endnote>
  <w:endnote w:id="28">
    <w:p w14:paraId="53480AA8"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Holtom and Bromley, “The International Arms Trade: Difficult to Define, Measure, and Control,” </w:t>
      </w:r>
      <w:r>
        <w:rPr>
          <w:rFonts w:ascii="Times New Roman" w:hAnsi="Times New Roman"/>
          <w:i/>
          <w:sz w:val="18"/>
          <w:szCs w:val="18"/>
        </w:rPr>
        <w:t>Arms Control Today</w:t>
      </w:r>
      <w:r>
        <w:rPr>
          <w:rFonts w:ascii="Times New Roman" w:hAnsi="Times New Roman"/>
          <w:sz w:val="18"/>
          <w:szCs w:val="18"/>
        </w:rPr>
        <w:t>, July/August 2010.</w:t>
      </w:r>
    </w:p>
  </w:endnote>
  <w:endnote w:id="29">
    <w:p w14:paraId="0DCDAB32"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“Arms Export Control,” EU External Action website, 2013, &lt;http://eeas.europa.eu/non-proliferation-and-disarmament/arms-export-control/index_en.htm&gt;.</w:t>
      </w:r>
    </w:p>
  </w:endnote>
  <w:endnote w:id="30">
    <w:p w14:paraId="262D60A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Protokol protiv nezakonite proizvodnje i trgovine vatrenim oružjem, njegovim delovima i komponentama i municijom, član 3(b).</w:t>
      </w:r>
    </w:p>
  </w:endnote>
  <w:endnote w:id="31">
    <w:p w14:paraId="35E29993"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color w:val="222222"/>
          <w:sz w:val="18"/>
          <w:szCs w:val="18"/>
          <w:shd w:val="clear" w:color="auto" w:fill="FFFFFF"/>
        </w:rPr>
        <w:t xml:space="preserve">Dokument UN A/62/163: </w:t>
      </w:r>
      <w:r>
        <w:rPr>
          <w:rFonts w:ascii="Times New Roman" w:hAnsi="Times New Roman"/>
          <w:sz w:val="18"/>
          <w:szCs w:val="18"/>
        </w:rPr>
        <w:t>Izveštaj Grupe vladinih stručnjaka osnovane u skladu sa rezolucijom Generalne skupštine UN 60/81 u cilju razmatranja daljih koraka za unapređenje međunarodne saradnje u sprečavanju, suzbijanju i iskorenjivanju nezakonitih brokerskih usluga u oblasti malokalibarskog i lakog oružja, Generalna skupština Ujedinjenih nacija, 30. avgust 2007.</w:t>
      </w:r>
    </w:p>
  </w:endnote>
  <w:endnote w:id="32">
    <w:p w14:paraId="512A763E"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Anders and Catteneo, “Taking Stock and Moving Forward the United Nations Process,” 2005.</w:t>
      </w:r>
    </w:p>
  </w:endnote>
  <w:endnote w:id="33">
    <w:p w14:paraId="6506FA31"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„Definicija termina u ovim listama“, Vasenarski aranžman, CTP, 2016.</w:t>
      </w:r>
    </w:p>
  </w:endnote>
  <w:endnote w:id="34">
    <w:p w14:paraId="57B9298D"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“Developing a Mechanism to Prevent Illicit Brokering in Small Arms and Light Weapons: Scope and Implications,” UNIDR, 2006.</w:t>
      </w:r>
    </w:p>
  </w:endnote>
  <w:endnote w:id="35">
    <w:p w14:paraId="757BFACF"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"Definitions of Small Arms and Light Weapons," Small Arms Survey, 2017, &lt;www.smallarmssurvey.org/weapons-and-markets/definitions.html&gt;.</w:t>
      </w:r>
    </w:p>
  </w:endnote>
  <w:endnote w:id="36">
    <w:p w14:paraId="3051C951"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Definitions of Small Arms and Light Weapons," Small Arms Survey, 2017. </w:t>
      </w:r>
    </w:p>
  </w:endnote>
  <w:endnote w:id="37">
    <w:p w14:paraId="4CA4F47A"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Definitions of Small Arms and Light Weapons," Small Arms Survey, 2017.</w:t>
      </w:r>
    </w:p>
  </w:endnote>
  <w:endnote w:id="38">
    <w:p w14:paraId="6F43D42B" w14:textId="77777777" w:rsidR="00493C38" w:rsidRPr="00FC6D7D" w:rsidRDefault="00493C38" w:rsidP="00493C38">
      <w:pPr>
        <w:pStyle w:val="EndnoteText"/>
        <w:tabs>
          <w:tab w:val="left" w:pos="3807"/>
        </w:tabs>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Rosenberg, </w:t>
      </w:r>
      <w:r>
        <w:rPr>
          <w:rFonts w:ascii="Times New Roman" w:hAnsi="Times New Roman"/>
          <w:i/>
          <w:sz w:val="18"/>
          <w:szCs w:val="18"/>
        </w:rPr>
        <w:t>The Essential Dictionary of International Trade</w:t>
      </w:r>
      <w:r>
        <w:rPr>
          <w:rFonts w:ascii="Times New Roman" w:hAnsi="Times New Roman"/>
          <w:sz w:val="18"/>
          <w:szCs w:val="18"/>
        </w:rPr>
        <w:t>, 2004, p. 400.</w:t>
      </w:r>
    </w:p>
  </w:endnote>
  <w:endnote w:id="39">
    <w:p w14:paraId="182F6C63" w14:textId="77777777" w:rsidR="00493C38" w:rsidRPr="00FC6D7D" w:rsidRDefault="00493C38" w:rsidP="00493C38">
      <w:pPr>
        <w:tabs>
          <w:tab w:val="left" w:pos="3807"/>
        </w:tabs>
        <w:spacing w:after="0" w:line="240" w:lineRule="auto"/>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i/>
          <w:sz w:val="18"/>
          <w:szCs w:val="18"/>
        </w:rPr>
        <w:t>Small Arms Survey 2001: Profiling the Problem</w:t>
      </w:r>
      <w:r>
        <w:rPr>
          <w:rFonts w:ascii="Times New Roman" w:hAnsi="Times New Roman"/>
          <w:sz w:val="18"/>
          <w:szCs w:val="18"/>
        </w:rPr>
        <w:t>, 2001, Chapter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205EAA13" w14:textId="5FCC25E2" w:rsidR="002E6FEC" w:rsidRDefault="002E6FEC">
        <w:pPr>
          <w:pStyle w:val="Footer"/>
          <w:jc w:val="right"/>
        </w:pPr>
        <w:r>
          <w:fldChar w:fldCharType="begin"/>
        </w:r>
        <w:r>
          <w:instrText xml:space="preserve"> PAGE   \* MERGEFORMAT </w:instrText>
        </w:r>
        <w:r>
          <w:fldChar w:fldCharType="separate"/>
        </w:r>
        <w:r w:rsidR="007E5E18">
          <w:rPr>
            <w:noProof/>
          </w:rPr>
          <w:t>1</w:t>
        </w:r>
        <w:r>
          <w:fldChar w:fldCharType="end"/>
        </w:r>
      </w:p>
    </w:sdtContent>
  </w:sdt>
  <w:p w14:paraId="6AAF58DE" w14:textId="77777777" w:rsidR="002E6FEC" w:rsidRDefault="002E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3D11" w14:textId="77777777" w:rsidR="00B96418" w:rsidRDefault="00B96418" w:rsidP="006F2B1A">
      <w:pPr>
        <w:spacing w:after="0" w:line="240" w:lineRule="auto"/>
      </w:pPr>
      <w:r>
        <w:separator/>
      </w:r>
    </w:p>
  </w:footnote>
  <w:footnote w:type="continuationSeparator" w:id="0">
    <w:p w14:paraId="0F159D4C" w14:textId="77777777" w:rsidR="00B96418" w:rsidRDefault="00B96418" w:rsidP="006F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FAD"/>
    <w:multiLevelType w:val="hybridMultilevel"/>
    <w:tmpl w:val="3272A38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0B0"/>
    <w:multiLevelType w:val="hybridMultilevel"/>
    <w:tmpl w:val="8C82CDA4"/>
    <w:lvl w:ilvl="0" w:tplc="99E8EFD2">
      <w:start w:val="1"/>
      <w:numFmt w:val="bullet"/>
      <w:lvlText w:val=""/>
      <w:lvlJc w:val="left"/>
      <w:pPr>
        <w:ind w:left="720" w:hanging="360"/>
      </w:pPr>
      <w:rPr>
        <w:rFonts w:ascii="Wingdings" w:hAnsi="Wingding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200B"/>
    <w:multiLevelType w:val="hybridMultilevel"/>
    <w:tmpl w:val="914EF4E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 w15:restartNumberingAfterBreak="0">
    <w:nsid w:val="0F0E3237"/>
    <w:multiLevelType w:val="hybridMultilevel"/>
    <w:tmpl w:val="4CE8CF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E208E"/>
    <w:multiLevelType w:val="hybridMultilevel"/>
    <w:tmpl w:val="4F7221C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18F"/>
    <w:multiLevelType w:val="hybridMultilevel"/>
    <w:tmpl w:val="2FCC27A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061DF"/>
    <w:multiLevelType w:val="hybridMultilevel"/>
    <w:tmpl w:val="8CF40BE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20C"/>
    <w:multiLevelType w:val="hybridMultilevel"/>
    <w:tmpl w:val="A1AA7CE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1DD"/>
    <w:multiLevelType w:val="hybridMultilevel"/>
    <w:tmpl w:val="C3E2657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4D2179"/>
    <w:multiLevelType w:val="hybridMultilevel"/>
    <w:tmpl w:val="8E28F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A6457"/>
    <w:multiLevelType w:val="hybridMultilevel"/>
    <w:tmpl w:val="4D54DD0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39CD2C5F"/>
    <w:multiLevelType w:val="hybridMultilevel"/>
    <w:tmpl w:val="EAC8ADF0"/>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63F8C"/>
    <w:multiLevelType w:val="hybridMultilevel"/>
    <w:tmpl w:val="EFE00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436B0C"/>
    <w:multiLevelType w:val="hybridMultilevel"/>
    <w:tmpl w:val="80387592"/>
    <w:lvl w:ilvl="0" w:tplc="9C7CB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BBB"/>
    <w:multiLevelType w:val="hybridMultilevel"/>
    <w:tmpl w:val="324008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35746"/>
    <w:multiLevelType w:val="hybridMultilevel"/>
    <w:tmpl w:val="5A74ACA6"/>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027AF"/>
    <w:multiLevelType w:val="hybridMultilevel"/>
    <w:tmpl w:val="392E1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A17329"/>
    <w:multiLevelType w:val="hybridMultilevel"/>
    <w:tmpl w:val="851C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28AD"/>
    <w:multiLevelType w:val="hybridMultilevel"/>
    <w:tmpl w:val="4FAC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6225"/>
    <w:multiLevelType w:val="hybridMultilevel"/>
    <w:tmpl w:val="D42AF2D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BC4549D"/>
    <w:multiLevelType w:val="hybridMultilevel"/>
    <w:tmpl w:val="88E2D2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A6AFA"/>
    <w:multiLevelType w:val="hybridMultilevel"/>
    <w:tmpl w:val="86E8F35A"/>
    <w:lvl w:ilvl="0" w:tplc="7F8460A0">
      <w:start w:val="1"/>
      <w:numFmt w:val="decimal"/>
      <w:lvlText w:val="%1)"/>
      <w:lvlJc w:val="left"/>
      <w:pPr>
        <w:ind w:left="1080" w:hanging="360"/>
      </w:pPr>
      <w:rPr>
        <w:rFonts w:hint="default"/>
        <w:b/>
        <w:i w:val="0"/>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0DB204D"/>
    <w:multiLevelType w:val="hybridMultilevel"/>
    <w:tmpl w:val="269A677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72DD5"/>
    <w:multiLevelType w:val="hybridMultilevel"/>
    <w:tmpl w:val="F28C67B4"/>
    <w:lvl w:ilvl="0" w:tplc="173EEFC0">
      <w:start w:val="1"/>
      <w:numFmt w:val="bullet"/>
      <w:lvlText w:val=""/>
      <w:lvlJc w:val="left"/>
      <w:pPr>
        <w:ind w:left="704" w:hanging="360"/>
      </w:pPr>
      <w:rPr>
        <w:rFonts w:ascii="Wingdings" w:hAnsi="Wingdings" w:hint="default"/>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4" w15:restartNumberingAfterBreak="0">
    <w:nsid w:val="56967C31"/>
    <w:multiLevelType w:val="hybridMultilevel"/>
    <w:tmpl w:val="9CCA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C252A"/>
    <w:multiLevelType w:val="hybridMultilevel"/>
    <w:tmpl w:val="EF4C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3F6E19"/>
    <w:multiLevelType w:val="hybridMultilevel"/>
    <w:tmpl w:val="1E82A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00F67"/>
    <w:multiLevelType w:val="hybridMultilevel"/>
    <w:tmpl w:val="253006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12C0"/>
    <w:multiLevelType w:val="hybridMultilevel"/>
    <w:tmpl w:val="22E04E3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6E0746F1"/>
    <w:multiLevelType w:val="hybridMultilevel"/>
    <w:tmpl w:val="9ADA1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43286"/>
    <w:multiLevelType w:val="hybridMultilevel"/>
    <w:tmpl w:val="D610C35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5"/>
  </w:num>
  <w:num w:numId="5">
    <w:abstractNumId w:val="26"/>
  </w:num>
  <w:num w:numId="6">
    <w:abstractNumId w:val="10"/>
  </w:num>
  <w:num w:numId="7">
    <w:abstractNumId w:val="7"/>
  </w:num>
  <w:num w:numId="8">
    <w:abstractNumId w:val="21"/>
  </w:num>
  <w:num w:numId="9">
    <w:abstractNumId w:val="23"/>
  </w:num>
  <w:num w:numId="10">
    <w:abstractNumId w:val="24"/>
  </w:num>
  <w:num w:numId="11">
    <w:abstractNumId w:val="6"/>
  </w:num>
  <w:num w:numId="12">
    <w:abstractNumId w:val="4"/>
  </w:num>
  <w:num w:numId="13">
    <w:abstractNumId w:val="5"/>
  </w:num>
  <w:num w:numId="14">
    <w:abstractNumId w:val="12"/>
  </w:num>
  <w:num w:numId="15">
    <w:abstractNumId w:val="9"/>
  </w:num>
  <w:num w:numId="16">
    <w:abstractNumId w:val="3"/>
  </w:num>
  <w:num w:numId="17">
    <w:abstractNumId w:val="22"/>
  </w:num>
  <w:num w:numId="18">
    <w:abstractNumId w:val="8"/>
  </w:num>
  <w:num w:numId="19">
    <w:abstractNumId w:val="20"/>
  </w:num>
  <w:num w:numId="20">
    <w:abstractNumId w:val="27"/>
  </w:num>
  <w:num w:numId="21">
    <w:abstractNumId w:val="17"/>
  </w:num>
  <w:num w:numId="22">
    <w:abstractNumId w:val="0"/>
  </w:num>
  <w:num w:numId="23">
    <w:abstractNumId w:val="25"/>
  </w:num>
  <w:num w:numId="24">
    <w:abstractNumId w:val="30"/>
  </w:num>
  <w:num w:numId="25">
    <w:abstractNumId w:val="29"/>
  </w:num>
  <w:num w:numId="26">
    <w:abstractNumId w:val="18"/>
  </w:num>
  <w:num w:numId="27">
    <w:abstractNumId w:val="13"/>
  </w:num>
  <w:num w:numId="28">
    <w:abstractNumId w:val="2"/>
  </w:num>
  <w:num w:numId="29">
    <w:abstractNumId w:val="14"/>
  </w:num>
  <w:num w:numId="30">
    <w:abstractNumId w:val="19"/>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IyNjA1NzM0MDS1MzIyUdpeDU4uLM/DyQAsNaAD85XtIsAAAA"/>
  </w:docVars>
  <w:rsids>
    <w:rsidRoot w:val="00B77DA8"/>
    <w:rsid w:val="000032D9"/>
    <w:rsid w:val="00020451"/>
    <w:rsid w:val="000233C1"/>
    <w:rsid w:val="00026ECA"/>
    <w:rsid w:val="00032F8A"/>
    <w:rsid w:val="00033672"/>
    <w:rsid w:val="0003500F"/>
    <w:rsid w:val="00035646"/>
    <w:rsid w:val="00041889"/>
    <w:rsid w:val="000457ED"/>
    <w:rsid w:val="000459F8"/>
    <w:rsid w:val="0009716C"/>
    <w:rsid w:val="000C23E3"/>
    <w:rsid w:val="000C6C06"/>
    <w:rsid w:val="000D10BD"/>
    <w:rsid w:val="000E30CD"/>
    <w:rsid w:val="000F141A"/>
    <w:rsid w:val="000F55F4"/>
    <w:rsid w:val="000F5B8D"/>
    <w:rsid w:val="00102269"/>
    <w:rsid w:val="00102F23"/>
    <w:rsid w:val="00107D73"/>
    <w:rsid w:val="001166F4"/>
    <w:rsid w:val="001173D8"/>
    <w:rsid w:val="0011776E"/>
    <w:rsid w:val="001246E6"/>
    <w:rsid w:val="00125998"/>
    <w:rsid w:val="00127B3A"/>
    <w:rsid w:val="001303EE"/>
    <w:rsid w:val="00136AAC"/>
    <w:rsid w:val="001444E5"/>
    <w:rsid w:val="001559E7"/>
    <w:rsid w:val="00160EA9"/>
    <w:rsid w:val="00166DBE"/>
    <w:rsid w:val="001703DF"/>
    <w:rsid w:val="00173D21"/>
    <w:rsid w:val="001766EC"/>
    <w:rsid w:val="00194A93"/>
    <w:rsid w:val="00194F07"/>
    <w:rsid w:val="00195780"/>
    <w:rsid w:val="001A04B1"/>
    <w:rsid w:val="001A0A1F"/>
    <w:rsid w:val="001A1CB3"/>
    <w:rsid w:val="001A20F2"/>
    <w:rsid w:val="001A5F84"/>
    <w:rsid w:val="001B268C"/>
    <w:rsid w:val="001C32C8"/>
    <w:rsid w:val="001C4914"/>
    <w:rsid w:val="001C73AB"/>
    <w:rsid w:val="001D05A9"/>
    <w:rsid w:val="001D284B"/>
    <w:rsid w:val="001D2A4F"/>
    <w:rsid w:val="001D2E8F"/>
    <w:rsid w:val="001D4AF3"/>
    <w:rsid w:val="001E2B61"/>
    <w:rsid w:val="001E4081"/>
    <w:rsid w:val="001E59B4"/>
    <w:rsid w:val="001E686E"/>
    <w:rsid w:val="001F2257"/>
    <w:rsid w:val="001F48A1"/>
    <w:rsid w:val="001F70C2"/>
    <w:rsid w:val="0021059C"/>
    <w:rsid w:val="00212185"/>
    <w:rsid w:val="002211AA"/>
    <w:rsid w:val="002237D3"/>
    <w:rsid w:val="0022663E"/>
    <w:rsid w:val="00236D2F"/>
    <w:rsid w:val="0024019D"/>
    <w:rsid w:val="00240525"/>
    <w:rsid w:val="002458CB"/>
    <w:rsid w:val="002516B9"/>
    <w:rsid w:val="00253692"/>
    <w:rsid w:val="002546EF"/>
    <w:rsid w:val="00263C9C"/>
    <w:rsid w:val="00267817"/>
    <w:rsid w:val="00270225"/>
    <w:rsid w:val="00270C66"/>
    <w:rsid w:val="00271332"/>
    <w:rsid w:val="00271BAB"/>
    <w:rsid w:val="00274555"/>
    <w:rsid w:val="00280840"/>
    <w:rsid w:val="00287C98"/>
    <w:rsid w:val="00290723"/>
    <w:rsid w:val="00293049"/>
    <w:rsid w:val="002A0B5F"/>
    <w:rsid w:val="002A4A3B"/>
    <w:rsid w:val="002A54FC"/>
    <w:rsid w:val="002A5828"/>
    <w:rsid w:val="002A7229"/>
    <w:rsid w:val="002B4350"/>
    <w:rsid w:val="002B57E0"/>
    <w:rsid w:val="002C1981"/>
    <w:rsid w:val="002C1BE1"/>
    <w:rsid w:val="002C2732"/>
    <w:rsid w:val="002C426A"/>
    <w:rsid w:val="002D768D"/>
    <w:rsid w:val="002E1FE5"/>
    <w:rsid w:val="002E3BDB"/>
    <w:rsid w:val="002E6B18"/>
    <w:rsid w:val="002E6B82"/>
    <w:rsid w:val="002E6FEC"/>
    <w:rsid w:val="002E7BE4"/>
    <w:rsid w:val="002F3ADC"/>
    <w:rsid w:val="002F4EC2"/>
    <w:rsid w:val="00304796"/>
    <w:rsid w:val="0030572E"/>
    <w:rsid w:val="00311FD2"/>
    <w:rsid w:val="00323A4B"/>
    <w:rsid w:val="0033604B"/>
    <w:rsid w:val="0033664F"/>
    <w:rsid w:val="003416B2"/>
    <w:rsid w:val="00343E1B"/>
    <w:rsid w:val="0035139B"/>
    <w:rsid w:val="003533D5"/>
    <w:rsid w:val="003539D1"/>
    <w:rsid w:val="00360A24"/>
    <w:rsid w:val="003640D3"/>
    <w:rsid w:val="003853F9"/>
    <w:rsid w:val="00386152"/>
    <w:rsid w:val="00390ECB"/>
    <w:rsid w:val="00393CB1"/>
    <w:rsid w:val="003957B0"/>
    <w:rsid w:val="003A239F"/>
    <w:rsid w:val="003A5185"/>
    <w:rsid w:val="003B05ED"/>
    <w:rsid w:val="003B5870"/>
    <w:rsid w:val="003B66FB"/>
    <w:rsid w:val="003B7EAA"/>
    <w:rsid w:val="003C215B"/>
    <w:rsid w:val="003D169E"/>
    <w:rsid w:val="003D1A85"/>
    <w:rsid w:val="003D5E78"/>
    <w:rsid w:val="003D60A4"/>
    <w:rsid w:val="003D6542"/>
    <w:rsid w:val="003E56E7"/>
    <w:rsid w:val="0040609C"/>
    <w:rsid w:val="00410D92"/>
    <w:rsid w:val="00414687"/>
    <w:rsid w:val="004272FB"/>
    <w:rsid w:val="00431DCE"/>
    <w:rsid w:val="004404E2"/>
    <w:rsid w:val="004431FB"/>
    <w:rsid w:val="00446713"/>
    <w:rsid w:val="00475896"/>
    <w:rsid w:val="00484787"/>
    <w:rsid w:val="004851FD"/>
    <w:rsid w:val="00491DE5"/>
    <w:rsid w:val="00493C38"/>
    <w:rsid w:val="004A0329"/>
    <w:rsid w:val="004A0F93"/>
    <w:rsid w:val="004A2A60"/>
    <w:rsid w:val="004B1DEF"/>
    <w:rsid w:val="004B49E5"/>
    <w:rsid w:val="004C0183"/>
    <w:rsid w:val="004C05E3"/>
    <w:rsid w:val="004C4CF5"/>
    <w:rsid w:val="004C5DFC"/>
    <w:rsid w:val="004D07FA"/>
    <w:rsid w:val="004D1CFE"/>
    <w:rsid w:val="004D20A4"/>
    <w:rsid w:val="004E41C3"/>
    <w:rsid w:val="004F1136"/>
    <w:rsid w:val="004F5810"/>
    <w:rsid w:val="004F768F"/>
    <w:rsid w:val="004F7B1D"/>
    <w:rsid w:val="00503E21"/>
    <w:rsid w:val="00507974"/>
    <w:rsid w:val="00513DC8"/>
    <w:rsid w:val="00515E2A"/>
    <w:rsid w:val="00517A2A"/>
    <w:rsid w:val="00517E3F"/>
    <w:rsid w:val="00525F42"/>
    <w:rsid w:val="00526E3C"/>
    <w:rsid w:val="005321BE"/>
    <w:rsid w:val="005322A2"/>
    <w:rsid w:val="005369BB"/>
    <w:rsid w:val="00537094"/>
    <w:rsid w:val="00537F61"/>
    <w:rsid w:val="00541F1A"/>
    <w:rsid w:val="005421BC"/>
    <w:rsid w:val="005477D3"/>
    <w:rsid w:val="005507C9"/>
    <w:rsid w:val="00550CE5"/>
    <w:rsid w:val="00553E1B"/>
    <w:rsid w:val="00554472"/>
    <w:rsid w:val="00561536"/>
    <w:rsid w:val="00561A02"/>
    <w:rsid w:val="00561DAD"/>
    <w:rsid w:val="005639EF"/>
    <w:rsid w:val="0056751F"/>
    <w:rsid w:val="00580AC0"/>
    <w:rsid w:val="0059119F"/>
    <w:rsid w:val="00597792"/>
    <w:rsid w:val="005A5E9B"/>
    <w:rsid w:val="005B1C78"/>
    <w:rsid w:val="005C356A"/>
    <w:rsid w:val="005C7147"/>
    <w:rsid w:val="005D39EF"/>
    <w:rsid w:val="005E1C4C"/>
    <w:rsid w:val="005E2B95"/>
    <w:rsid w:val="005E5EDF"/>
    <w:rsid w:val="005F5361"/>
    <w:rsid w:val="00600228"/>
    <w:rsid w:val="006179EC"/>
    <w:rsid w:val="00623273"/>
    <w:rsid w:val="00633A0D"/>
    <w:rsid w:val="00633AF6"/>
    <w:rsid w:val="006349E2"/>
    <w:rsid w:val="00637D57"/>
    <w:rsid w:val="00642762"/>
    <w:rsid w:val="00642EF9"/>
    <w:rsid w:val="006461C9"/>
    <w:rsid w:val="006538ED"/>
    <w:rsid w:val="00664020"/>
    <w:rsid w:val="00664F68"/>
    <w:rsid w:val="006713A3"/>
    <w:rsid w:val="0067588A"/>
    <w:rsid w:val="00676351"/>
    <w:rsid w:val="006820CB"/>
    <w:rsid w:val="00687646"/>
    <w:rsid w:val="006901C9"/>
    <w:rsid w:val="00697D98"/>
    <w:rsid w:val="006A1487"/>
    <w:rsid w:val="006A1CDD"/>
    <w:rsid w:val="006A4384"/>
    <w:rsid w:val="006A7B18"/>
    <w:rsid w:val="006B1AB5"/>
    <w:rsid w:val="006B2A54"/>
    <w:rsid w:val="006B4E3E"/>
    <w:rsid w:val="006D0AFB"/>
    <w:rsid w:val="006D4579"/>
    <w:rsid w:val="006E4525"/>
    <w:rsid w:val="006F2B1A"/>
    <w:rsid w:val="006F3AB9"/>
    <w:rsid w:val="006F7E4A"/>
    <w:rsid w:val="0071106D"/>
    <w:rsid w:val="00713477"/>
    <w:rsid w:val="00716445"/>
    <w:rsid w:val="00722855"/>
    <w:rsid w:val="007317E8"/>
    <w:rsid w:val="007362B7"/>
    <w:rsid w:val="00736871"/>
    <w:rsid w:val="00743616"/>
    <w:rsid w:val="00743EAD"/>
    <w:rsid w:val="00746043"/>
    <w:rsid w:val="00747271"/>
    <w:rsid w:val="0075514C"/>
    <w:rsid w:val="00757C92"/>
    <w:rsid w:val="007601CB"/>
    <w:rsid w:val="0076223B"/>
    <w:rsid w:val="007622A2"/>
    <w:rsid w:val="007702D6"/>
    <w:rsid w:val="00772F57"/>
    <w:rsid w:val="00774BDB"/>
    <w:rsid w:val="00780DE3"/>
    <w:rsid w:val="0078424D"/>
    <w:rsid w:val="007870AB"/>
    <w:rsid w:val="00792325"/>
    <w:rsid w:val="00794E6A"/>
    <w:rsid w:val="00794F94"/>
    <w:rsid w:val="00797D94"/>
    <w:rsid w:val="007A42BE"/>
    <w:rsid w:val="007A4909"/>
    <w:rsid w:val="007A607E"/>
    <w:rsid w:val="007B1335"/>
    <w:rsid w:val="007B142D"/>
    <w:rsid w:val="007C3CE7"/>
    <w:rsid w:val="007D1D0F"/>
    <w:rsid w:val="007E19EB"/>
    <w:rsid w:val="007E2322"/>
    <w:rsid w:val="007E5E18"/>
    <w:rsid w:val="007E7A7C"/>
    <w:rsid w:val="007F0150"/>
    <w:rsid w:val="007F2540"/>
    <w:rsid w:val="007F61D3"/>
    <w:rsid w:val="00803680"/>
    <w:rsid w:val="008108A9"/>
    <w:rsid w:val="00810CAE"/>
    <w:rsid w:val="00814631"/>
    <w:rsid w:val="00814A9C"/>
    <w:rsid w:val="008218F3"/>
    <w:rsid w:val="00821F1B"/>
    <w:rsid w:val="008249AB"/>
    <w:rsid w:val="00824D80"/>
    <w:rsid w:val="00830234"/>
    <w:rsid w:val="00836BFE"/>
    <w:rsid w:val="0084524A"/>
    <w:rsid w:val="00852B00"/>
    <w:rsid w:val="0085459E"/>
    <w:rsid w:val="00864E2C"/>
    <w:rsid w:val="008662CC"/>
    <w:rsid w:val="0087471C"/>
    <w:rsid w:val="00883919"/>
    <w:rsid w:val="008944BB"/>
    <w:rsid w:val="008B2A0E"/>
    <w:rsid w:val="008B4C09"/>
    <w:rsid w:val="008B5D38"/>
    <w:rsid w:val="008B7DBD"/>
    <w:rsid w:val="008D0DDE"/>
    <w:rsid w:val="008D2708"/>
    <w:rsid w:val="008D2A24"/>
    <w:rsid w:val="008E0BBC"/>
    <w:rsid w:val="008E30C7"/>
    <w:rsid w:val="008E34DB"/>
    <w:rsid w:val="008F3CB4"/>
    <w:rsid w:val="008F570D"/>
    <w:rsid w:val="008F7948"/>
    <w:rsid w:val="00900FF5"/>
    <w:rsid w:val="00901656"/>
    <w:rsid w:val="00903CAE"/>
    <w:rsid w:val="009131DF"/>
    <w:rsid w:val="009149DF"/>
    <w:rsid w:val="009178EE"/>
    <w:rsid w:val="00925075"/>
    <w:rsid w:val="00926FAA"/>
    <w:rsid w:val="00927F89"/>
    <w:rsid w:val="00937363"/>
    <w:rsid w:val="009407AF"/>
    <w:rsid w:val="009511EB"/>
    <w:rsid w:val="009539A2"/>
    <w:rsid w:val="00954191"/>
    <w:rsid w:val="00954A0C"/>
    <w:rsid w:val="00960508"/>
    <w:rsid w:val="00967092"/>
    <w:rsid w:val="00974895"/>
    <w:rsid w:val="0097748D"/>
    <w:rsid w:val="00981AC6"/>
    <w:rsid w:val="00997100"/>
    <w:rsid w:val="009A706B"/>
    <w:rsid w:val="009B202D"/>
    <w:rsid w:val="009B6F5F"/>
    <w:rsid w:val="009C5479"/>
    <w:rsid w:val="009C758C"/>
    <w:rsid w:val="009D6441"/>
    <w:rsid w:val="009E1EDD"/>
    <w:rsid w:val="009E40C1"/>
    <w:rsid w:val="009E5351"/>
    <w:rsid w:val="009F1147"/>
    <w:rsid w:val="009F384C"/>
    <w:rsid w:val="009F444B"/>
    <w:rsid w:val="00A03609"/>
    <w:rsid w:val="00A10DCC"/>
    <w:rsid w:val="00A23A34"/>
    <w:rsid w:val="00A341F1"/>
    <w:rsid w:val="00A351E2"/>
    <w:rsid w:val="00A50800"/>
    <w:rsid w:val="00A7096F"/>
    <w:rsid w:val="00A75D69"/>
    <w:rsid w:val="00A813D3"/>
    <w:rsid w:val="00A817D9"/>
    <w:rsid w:val="00A81EF2"/>
    <w:rsid w:val="00A83928"/>
    <w:rsid w:val="00A90C56"/>
    <w:rsid w:val="00A922E0"/>
    <w:rsid w:val="00A9300B"/>
    <w:rsid w:val="00A93C09"/>
    <w:rsid w:val="00AB2743"/>
    <w:rsid w:val="00AB4F8B"/>
    <w:rsid w:val="00AC35CF"/>
    <w:rsid w:val="00AC5EFB"/>
    <w:rsid w:val="00AD4269"/>
    <w:rsid w:val="00AE1EA1"/>
    <w:rsid w:val="00AE2514"/>
    <w:rsid w:val="00AE54B1"/>
    <w:rsid w:val="00AF03A6"/>
    <w:rsid w:val="00AF3711"/>
    <w:rsid w:val="00B02B1B"/>
    <w:rsid w:val="00B04058"/>
    <w:rsid w:val="00B05BDD"/>
    <w:rsid w:val="00B07065"/>
    <w:rsid w:val="00B11818"/>
    <w:rsid w:val="00B16E2E"/>
    <w:rsid w:val="00B21833"/>
    <w:rsid w:val="00B22949"/>
    <w:rsid w:val="00B2370A"/>
    <w:rsid w:val="00B35BA9"/>
    <w:rsid w:val="00B40142"/>
    <w:rsid w:val="00B46CF6"/>
    <w:rsid w:val="00B521A5"/>
    <w:rsid w:val="00B5624B"/>
    <w:rsid w:val="00B61609"/>
    <w:rsid w:val="00B66F60"/>
    <w:rsid w:val="00B6799D"/>
    <w:rsid w:val="00B72F96"/>
    <w:rsid w:val="00B77B96"/>
    <w:rsid w:val="00B77DA8"/>
    <w:rsid w:val="00B80C82"/>
    <w:rsid w:val="00B8131F"/>
    <w:rsid w:val="00B860E7"/>
    <w:rsid w:val="00B86E61"/>
    <w:rsid w:val="00B96003"/>
    <w:rsid w:val="00B96418"/>
    <w:rsid w:val="00BA2373"/>
    <w:rsid w:val="00BA6006"/>
    <w:rsid w:val="00BB13B6"/>
    <w:rsid w:val="00BB487B"/>
    <w:rsid w:val="00BB5E6E"/>
    <w:rsid w:val="00BC157D"/>
    <w:rsid w:val="00BC3614"/>
    <w:rsid w:val="00BD2D36"/>
    <w:rsid w:val="00BE157F"/>
    <w:rsid w:val="00BE31D8"/>
    <w:rsid w:val="00BF1308"/>
    <w:rsid w:val="00BF5C0A"/>
    <w:rsid w:val="00C04DA9"/>
    <w:rsid w:val="00C139F9"/>
    <w:rsid w:val="00C15927"/>
    <w:rsid w:val="00C16504"/>
    <w:rsid w:val="00C210C1"/>
    <w:rsid w:val="00C227B5"/>
    <w:rsid w:val="00C23BCF"/>
    <w:rsid w:val="00C23CD2"/>
    <w:rsid w:val="00C500E9"/>
    <w:rsid w:val="00C5607E"/>
    <w:rsid w:val="00C652A8"/>
    <w:rsid w:val="00C65578"/>
    <w:rsid w:val="00C76DCB"/>
    <w:rsid w:val="00C83CE9"/>
    <w:rsid w:val="00C91E15"/>
    <w:rsid w:val="00C92C16"/>
    <w:rsid w:val="00C95776"/>
    <w:rsid w:val="00C97778"/>
    <w:rsid w:val="00CA0BB3"/>
    <w:rsid w:val="00CA32DA"/>
    <w:rsid w:val="00CA3FF1"/>
    <w:rsid w:val="00CA7179"/>
    <w:rsid w:val="00CB508A"/>
    <w:rsid w:val="00CC3BC9"/>
    <w:rsid w:val="00CD55D2"/>
    <w:rsid w:val="00CE483C"/>
    <w:rsid w:val="00CE4BCE"/>
    <w:rsid w:val="00CE7486"/>
    <w:rsid w:val="00CF1419"/>
    <w:rsid w:val="00CF2C26"/>
    <w:rsid w:val="00D01B49"/>
    <w:rsid w:val="00D074BB"/>
    <w:rsid w:val="00D14845"/>
    <w:rsid w:val="00D219C1"/>
    <w:rsid w:val="00D22777"/>
    <w:rsid w:val="00D2344A"/>
    <w:rsid w:val="00D2483C"/>
    <w:rsid w:val="00D53F21"/>
    <w:rsid w:val="00D55348"/>
    <w:rsid w:val="00D56D07"/>
    <w:rsid w:val="00D644B9"/>
    <w:rsid w:val="00D65D58"/>
    <w:rsid w:val="00D6614F"/>
    <w:rsid w:val="00D662FF"/>
    <w:rsid w:val="00D70130"/>
    <w:rsid w:val="00D71A36"/>
    <w:rsid w:val="00D76DE2"/>
    <w:rsid w:val="00D80DDA"/>
    <w:rsid w:val="00D86602"/>
    <w:rsid w:val="00D915F2"/>
    <w:rsid w:val="00D92FEE"/>
    <w:rsid w:val="00D94FDE"/>
    <w:rsid w:val="00DA481D"/>
    <w:rsid w:val="00DB1C60"/>
    <w:rsid w:val="00DB6C83"/>
    <w:rsid w:val="00DC046C"/>
    <w:rsid w:val="00DC7E42"/>
    <w:rsid w:val="00DD1E3D"/>
    <w:rsid w:val="00DD328C"/>
    <w:rsid w:val="00DE181D"/>
    <w:rsid w:val="00DE305A"/>
    <w:rsid w:val="00DF0066"/>
    <w:rsid w:val="00E037A9"/>
    <w:rsid w:val="00E049C3"/>
    <w:rsid w:val="00E10BE7"/>
    <w:rsid w:val="00E15298"/>
    <w:rsid w:val="00E17739"/>
    <w:rsid w:val="00E25520"/>
    <w:rsid w:val="00E2647F"/>
    <w:rsid w:val="00E31E9A"/>
    <w:rsid w:val="00E471EF"/>
    <w:rsid w:val="00E47846"/>
    <w:rsid w:val="00E67701"/>
    <w:rsid w:val="00E67C0A"/>
    <w:rsid w:val="00E77222"/>
    <w:rsid w:val="00E8223C"/>
    <w:rsid w:val="00E953CD"/>
    <w:rsid w:val="00EA1866"/>
    <w:rsid w:val="00EB3CA9"/>
    <w:rsid w:val="00EB40D8"/>
    <w:rsid w:val="00EB4D70"/>
    <w:rsid w:val="00EC2ADD"/>
    <w:rsid w:val="00EC3729"/>
    <w:rsid w:val="00EC3924"/>
    <w:rsid w:val="00ED1B18"/>
    <w:rsid w:val="00ED454B"/>
    <w:rsid w:val="00ED6968"/>
    <w:rsid w:val="00EE4D2B"/>
    <w:rsid w:val="00EF0B75"/>
    <w:rsid w:val="00EF3598"/>
    <w:rsid w:val="00F04B6A"/>
    <w:rsid w:val="00F1686F"/>
    <w:rsid w:val="00F17746"/>
    <w:rsid w:val="00F20CB3"/>
    <w:rsid w:val="00F26097"/>
    <w:rsid w:val="00F34414"/>
    <w:rsid w:val="00F4516C"/>
    <w:rsid w:val="00F50520"/>
    <w:rsid w:val="00F50753"/>
    <w:rsid w:val="00F5377B"/>
    <w:rsid w:val="00F66E18"/>
    <w:rsid w:val="00F72AB7"/>
    <w:rsid w:val="00F7319F"/>
    <w:rsid w:val="00F7590F"/>
    <w:rsid w:val="00F760D8"/>
    <w:rsid w:val="00F87673"/>
    <w:rsid w:val="00F9335E"/>
    <w:rsid w:val="00F94159"/>
    <w:rsid w:val="00F94F4C"/>
    <w:rsid w:val="00FA1BF4"/>
    <w:rsid w:val="00FA757C"/>
    <w:rsid w:val="00FC0138"/>
    <w:rsid w:val="00FC1D23"/>
    <w:rsid w:val="00FC35E5"/>
    <w:rsid w:val="00FC6D7D"/>
    <w:rsid w:val="00FE1456"/>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42F"/>
  <w15:docId w15:val="{35F003B0-3774-47F8-A105-594F5BF0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38484167">
      <w:bodyDiv w:val="1"/>
      <w:marLeft w:val="0"/>
      <w:marRight w:val="0"/>
      <w:marTop w:val="0"/>
      <w:marBottom w:val="0"/>
      <w:divBdr>
        <w:top w:val="none" w:sz="0" w:space="0" w:color="auto"/>
        <w:left w:val="none" w:sz="0" w:space="0" w:color="auto"/>
        <w:bottom w:val="none" w:sz="0" w:space="0" w:color="auto"/>
        <w:right w:val="none" w:sz="0" w:space="0" w:color="auto"/>
      </w:divBdr>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692145432">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54520205">
      <w:bodyDiv w:val="1"/>
      <w:marLeft w:val="0"/>
      <w:marRight w:val="0"/>
      <w:marTop w:val="0"/>
      <w:marBottom w:val="0"/>
      <w:divBdr>
        <w:top w:val="none" w:sz="0" w:space="0" w:color="auto"/>
        <w:left w:val="none" w:sz="0" w:space="0" w:color="auto"/>
        <w:bottom w:val="none" w:sz="0" w:space="0" w:color="auto"/>
        <w:right w:val="none" w:sz="0" w:space="0" w:color="auto"/>
      </w:divBdr>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840463775">
      <w:bodyDiv w:val="1"/>
      <w:marLeft w:val="0"/>
      <w:marRight w:val="0"/>
      <w:marTop w:val="0"/>
      <w:marBottom w:val="0"/>
      <w:divBdr>
        <w:top w:val="none" w:sz="0" w:space="0" w:color="auto"/>
        <w:left w:val="none" w:sz="0" w:space="0" w:color="auto"/>
        <w:bottom w:val="none" w:sz="0" w:space="0" w:color="auto"/>
        <w:right w:val="none" w:sz="0" w:space="0" w:color="auto"/>
      </w:divBdr>
    </w:div>
    <w:div w:id="1056126089">
      <w:bodyDiv w:val="1"/>
      <w:marLeft w:val="0"/>
      <w:marRight w:val="0"/>
      <w:marTop w:val="0"/>
      <w:marBottom w:val="0"/>
      <w:divBdr>
        <w:top w:val="none" w:sz="0" w:space="0" w:color="auto"/>
        <w:left w:val="none" w:sz="0" w:space="0" w:color="auto"/>
        <w:bottom w:val="none" w:sz="0" w:space="0" w:color="auto"/>
        <w:right w:val="none" w:sz="0" w:space="0" w:color="auto"/>
      </w:divBdr>
      <w:divsChild>
        <w:div w:id="588929244">
          <w:marLeft w:val="547"/>
          <w:marRight w:val="0"/>
          <w:marTop w:val="120"/>
          <w:marBottom w:val="120"/>
          <w:divBdr>
            <w:top w:val="none" w:sz="0" w:space="0" w:color="auto"/>
            <w:left w:val="none" w:sz="0" w:space="0" w:color="auto"/>
            <w:bottom w:val="none" w:sz="0" w:space="0" w:color="auto"/>
            <w:right w:val="none" w:sz="0" w:space="0" w:color="auto"/>
          </w:divBdr>
        </w:div>
        <w:div w:id="506333282">
          <w:marLeft w:val="1166"/>
          <w:marRight w:val="0"/>
          <w:marTop w:val="120"/>
          <w:marBottom w:val="120"/>
          <w:divBdr>
            <w:top w:val="none" w:sz="0" w:space="0" w:color="auto"/>
            <w:left w:val="none" w:sz="0" w:space="0" w:color="auto"/>
            <w:bottom w:val="none" w:sz="0" w:space="0" w:color="auto"/>
            <w:right w:val="none" w:sz="0" w:space="0" w:color="auto"/>
          </w:divBdr>
        </w:div>
        <w:div w:id="696081150">
          <w:marLeft w:val="1800"/>
          <w:marRight w:val="0"/>
          <w:marTop w:val="120"/>
          <w:marBottom w:val="120"/>
          <w:divBdr>
            <w:top w:val="none" w:sz="0" w:space="0" w:color="auto"/>
            <w:left w:val="none" w:sz="0" w:space="0" w:color="auto"/>
            <w:bottom w:val="none" w:sz="0" w:space="0" w:color="auto"/>
            <w:right w:val="none" w:sz="0" w:space="0" w:color="auto"/>
          </w:divBdr>
        </w:div>
        <w:div w:id="80953938">
          <w:marLeft w:val="1166"/>
          <w:marRight w:val="0"/>
          <w:marTop w:val="120"/>
          <w:marBottom w:val="120"/>
          <w:divBdr>
            <w:top w:val="none" w:sz="0" w:space="0" w:color="auto"/>
            <w:left w:val="none" w:sz="0" w:space="0" w:color="auto"/>
            <w:bottom w:val="none" w:sz="0" w:space="0" w:color="auto"/>
            <w:right w:val="none" w:sz="0" w:space="0" w:color="auto"/>
          </w:divBdr>
        </w:div>
        <w:div w:id="98919580">
          <w:marLeft w:val="1800"/>
          <w:marRight w:val="0"/>
          <w:marTop w:val="120"/>
          <w:marBottom w:val="120"/>
          <w:divBdr>
            <w:top w:val="none" w:sz="0" w:space="0" w:color="auto"/>
            <w:left w:val="none" w:sz="0" w:space="0" w:color="auto"/>
            <w:bottom w:val="none" w:sz="0" w:space="0" w:color="auto"/>
            <w:right w:val="none" w:sz="0" w:space="0" w:color="auto"/>
          </w:divBdr>
        </w:div>
        <w:div w:id="1537961809">
          <w:marLeft w:val="1800"/>
          <w:marRight w:val="0"/>
          <w:marTop w:val="120"/>
          <w:marBottom w:val="120"/>
          <w:divBdr>
            <w:top w:val="none" w:sz="0" w:space="0" w:color="auto"/>
            <w:left w:val="none" w:sz="0" w:space="0" w:color="auto"/>
            <w:bottom w:val="none" w:sz="0" w:space="0" w:color="auto"/>
            <w:right w:val="none" w:sz="0" w:space="0" w:color="auto"/>
          </w:divBdr>
        </w:div>
        <w:div w:id="1460492703">
          <w:marLeft w:val="1166"/>
          <w:marRight w:val="0"/>
          <w:marTop w:val="120"/>
          <w:marBottom w:val="120"/>
          <w:divBdr>
            <w:top w:val="none" w:sz="0" w:space="0" w:color="auto"/>
            <w:left w:val="none" w:sz="0" w:space="0" w:color="auto"/>
            <w:bottom w:val="none" w:sz="0" w:space="0" w:color="auto"/>
            <w:right w:val="none" w:sz="0" w:space="0" w:color="auto"/>
          </w:divBdr>
        </w:div>
        <w:div w:id="1206286413">
          <w:marLeft w:val="1166"/>
          <w:marRight w:val="0"/>
          <w:marTop w:val="120"/>
          <w:marBottom w:val="120"/>
          <w:divBdr>
            <w:top w:val="none" w:sz="0" w:space="0" w:color="auto"/>
            <w:left w:val="none" w:sz="0" w:space="0" w:color="auto"/>
            <w:bottom w:val="none" w:sz="0" w:space="0" w:color="auto"/>
            <w:right w:val="none" w:sz="0" w:space="0" w:color="auto"/>
          </w:divBdr>
        </w:div>
      </w:divsChild>
    </w:div>
    <w:div w:id="1120757433">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sChild>
        <w:div w:id="653945800">
          <w:marLeft w:val="0"/>
          <w:marRight w:val="0"/>
          <w:marTop w:val="0"/>
          <w:marBottom w:val="0"/>
          <w:divBdr>
            <w:top w:val="none" w:sz="0" w:space="0" w:color="auto"/>
            <w:left w:val="none" w:sz="0" w:space="0" w:color="auto"/>
            <w:bottom w:val="none" w:sz="0" w:space="0" w:color="auto"/>
            <w:right w:val="none" w:sz="0" w:space="0" w:color="auto"/>
          </w:divBdr>
        </w:div>
        <w:div w:id="2127693007">
          <w:marLeft w:val="0"/>
          <w:marRight w:val="0"/>
          <w:marTop w:val="0"/>
          <w:marBottom w:val="0"/>
          <w:divBdr>
            <w:top w:val="none" w:sz="0" w:space="0" w:color="auto"/>
            <w:left w:val="none" w:sz="0" w:space="0" w:color="auto"/>
            <w:bottom w:val="none" w:sz="0" w:space="0" w:color="auto"/>
            <w:right w:val="none" w:sz="0" w:space="0" w:color="auto"/>
          </w:divBdr>
        </w:div>
        <w:div w:id="1905411187">
          <w:marLeft w:val="0"/>
          <w:marRight w:val="0"/>
          <w:marTop w:val="0"/>
          <w:marBottom w:val="0"/>
          <w:divBdr>
            <w:top w:val="none" w:sz="0" w:space="0" w:color="auto"/>
            <w:left w:val="none" w:sz="0" w:space="0" w:color="auto"/>
            <w:bottom w:val="none" w:sz="0" w:space="0" w:color="auto"/>
            <w:right w:val="none" w:sz="0" w:space="0" w:color="auto"/>
          </w:divBdr>
        </w:div>
        <w:div w:id="232278677">
          <w:marLeft w:val="0"/>
          <w:marRight w:val="0"/>
          <w:marTop w:val="0"/>
          <w:marBottom w:val="0"/>
          <w:divBdr>
            <w:top w:val="none" w:sz="0" w:space="0" w:color="auto"/>
            <w:left w:val="none" w:sz="0" w:space="0" w:color="auto"/>
            <w:bottom w:val="none" w:sz="0" w:space="0" w:color="auto"/>
            <w:right w:val="none" w:sz="0" w:space="0" w:color="auto"/>
          </w:divBdr>
        </w:div>
        <w:div w:id="1723484012">
          <w:marLeft w:val="0"/>
          <w:marRight w:val="0"/>
          <w:marTop w:val="0"/>
          <w:marBottom w:val="0"/>
          <w:divBdr>
            <w:top w:val="none" w:sz="0" w:space="0" w:color="auto"/>
            <w:left w:val="none" w:sz="0" w:space="0" w:color="auto"/>
            <w:bottom w:val="none" w:sz="0" w:space="0" w:color="auto"/>
            <w:right w:val="none" w:sz="0" w:space="0" w:color="auto"/>
          </w:divBdr>
        </w:div>
        <w:div w:id="644895707">
          <w:marLeft w:val="0"/>
          <w:marRight w:val="0"/>
          <w:marTop w:val="0"/>
          <w:marBottom w:val="0"/>
          <w:divBdr>
            <w:top w:val="none" w:sz="0" w:space="0" w:color="auto"/>
            <w:left w:val="none" w:sz="0" w:space="0" w:color="auto"/>
            <w:bottom w:val="none" w:sz="0" w:space="0" w:color="auto"/>
            <w:right w:val="none" w:sz="0" w:space="0" w:color="auto"/>
          </w:divBdr>
        </w:div>
        <w:div w:id="478544345">
          <w:marLeft w:val="0"/>
          <w:marRight w:val="0"/>
          <w:marTop w:val="0"/>
          <w:marBottom w:val="0"/>
          <w:divBdr>
            <w:top w:val="none" w:sz="0" w:space="0" w:color="auto"/>
            <w:left w:val="none" w:sz="0" w:space="0" w:color="auto"/>
            <w:bottom w:val="none" w:sz="0" w:space="0" w:color="auto"/>
            <w:right w:val="none" w:sz="0" w:space="0" w:color="auto"/>
          </w:divBdr>
        </w:div>
        <w:div w:id="2047875563">
          <w:marLeft w:val="0"/>
          <w:marRight w:val="0"/>
          <w:marTop w:val="0"/>
          <w:marBottom w:val="0"/>
          <w:divBdr>
            <w:top w:val="none" w:sz="0" w:space="0" w:color="auto"/>
            <w:left w:val="none" w:sz="0" w:space="0" w:color="auto"/>
            <w:bottom w:val="none" w:sz="0" w:space="0" w:color="auto"/>
            <w:right w:val="none" w:sz="0" w:space="0" w:color="auto"/>
          </w:divBdr>
        </w:div>
        <w:div w:id="1789549793">
          <w:marLeft w:val="0"/>
          <w:marRight w:val="0"/>
          <w:marTop w:val="0"/>
          <w:marBottom w:val="0"/>
          <w:divBdr>
            <w:top w:val="none" w:sz="0" w:space="0" w:color="auto"/>
            <w:left w:val="none" w:sz="0" w:space="0" w:color="auto"/>
            <w:bottom w:val="none" w:sz="0" w:space="0" w:color="auto"/>
            <w:right w:val="none" w:sz="0" w:space="0" w:color="auto"/>
          </w:divBdr>
        </w:div>
        <w:div w:id="978917339">
          <w:marLeft w:val="0"/>
          <w:marRight w:val="0"/>
          <w:marTop w:val="0"/>
          <w:marBottom w:val="0"/>
          <w:divBdr>
            <w:top w:val="none" w:sz="0" w:space="0" w:color="auto"/>
            <w:left w:val="none" w:sz="0" w:space="0" w:color="auto"/>
            <w:bottom w:val="none" w:sz="0" w:space="0" w:color="auto"/>
            <w:right w:val="none" w:sz="0" w:space="0" w:color="auto"/>
          </w:divBdr>
        </w:div>
        <w:div w:id="1136027400">
          <w:marLeft w:val="0"/>
          <w:marRight w:val="0"/>
          <w:marTop w:val="0"/>
          <w:marBottom w:val="0"/>
          <w:divBdr>
            <w:top w:val="none" w:sz="0" w:space="0" w:color="auto"/>
            <w:left w:val="none" w:sz="0" w:space="0" w:color="auto"/>
            <w:bottom w:val="none" w:sz="0" w:space="0" w:color="auto"/>
            <w:right w:val="none" w:sz="0" w:space="0" w:color="auto"/>
          </w:divBdr>
        </w:div>
        <w:div w:id="1308049196">
          <w:marLeft w:val="0"/>
          <w:marRight w:val="0"/>
          <w:marTop w:val="0"/>
          <w:marBottom w:val="0"/>
          <w:divBdr>
            <w:top w:val="none" w:sz="0" w:space="0" w:color="auto"/>
            <w:left w:val="none" w:sz="0" w:space="0" w:color="auto"/>
            <w:bottom w:val="none" w:sz="0" w:space="0" w:color="auto"/>
            <w:right w:val="none" w:sz="0" w:space="0" w:color="auto"/>
          </w:divBdr>
        </w:div>
        <w:div w:id="168830543">
          <w:marLeft w:val="0"/>
          <w:marRight w:val="0"/>
          <w:marTop w:val="0"/>
          <w:marBottom w:val="0"/>
          <w:divBdr>
            <w:top w:val="none" w:sz="0" w:space="0" w:color="auto"/>
            <w:left w:val="none" w:sz="0" w:space="0" w:color="auto"/>
            <w:bottom w:val="none" w:sz="0" w:space="0" w:color="auto"/>
            <w:right w:val="none" w:sz="0" w:space="0" w:color="auto"/>
          </w:divBdr>
        </w:div>
        <w:div w:id="833684266">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82594051">
          <w:marLeft w:val="0"/>
          <w:marRight w:val="0"/>
          <w:marTop w:val="0"/>
          <w:marBottom w:val="0"/>
          <w:divBdr>
            <w:top w:val="none" w:sz="0" w:space="0" w:color="auto"/>
            <w:left w:val="none" w:sz="0" w:space="0" w:color="auto"/>
            <w:bottom w:val="none" w:sz="0" w:space="0" w:color="auto"/>
            <w:right w:val="none" w:sz="0" w:space="0" w:color="auto"/>
          </w:divBdr>
        </w:div>
        <w:div w:id="970553482">
          <w:marLeft w:val="0"/>
          <w:marRight w:val="0"/>
          <w:marTop w:val="0"/>
          <w:marBottom w:val="0"/>
          <w:divBdr>
            <w:top w:val="none" w:sz="0" w:space="0" w:color="auto"/>
            <w:left w:val="none" w:sz="0" w:space="0" w:color="auto"/>
            <w:bottom w:val="none" w:sz="0" w:space="0" w:color="auto"/>
            <w:right w:val="none" w:sz="0" w:space="0" w:color="auto"/>
          </w:divBdr>
        </w:div>
        <w:div w:id="55015946">
          <w:marLeft w:val="0"/>
          <w:marRight w:val="0"/>
          <w:marTop w:val="0"/>
          <w:marBottom w:val="0"/>
          <w:divBdr>
            <w:top w:val="none" w:sz="0" w:space="0" w:color="auto"/>
            <w:left w:val="none" w:sz="0" w:space="0" w:color="auto"/>
            <w:bottom w:val="none" w:sz="0" w:space="0" w:color="auto"/>
            <w:right w:val="none" w:sz="0" w:space="0" w:color="auto"/>
          </w:divBdr>
        </w:div>
        <w:div w:id="237251239">
          <w:marLeft w:val="0"/>
          <w:marRight w:val="0"/>
          <w:marTop w:val="0"/>
          <w:marBottom w:val="0"/>
          <w:divBdr>
            <w:top w:val="none" w:sz="0" w:space="0" w:color="auto"/>
            <w:left w:val="none" w:sz="0" w:space="0" w:color="auto"/>
            <w:bottom w:val="none" w:sz="0" w:space="0" w:color="auto"/>
            <w:right w:val="none" w:sz="0" w:space="0" w:color="auto"/>
          </w:divBdr>
        </w:div>
        <w:div w:id="1514765609">
          <w:marLeft w:val="0"/>
          <w:marRight w:val="0"/>
          <w:marTop w:val="0"/>
          <w:marBottom w:val="0"/>
          <w:divBdr>
            <w:top w:val="none" w:sz="0" w:space="0" w:color="auto"/>
            <w:left w:val="none" w:sz="0" w:space="0" w:color="auto"/>
            <w:bottom w:val="none" w:sz="0" w:space="0" w:color="auto"/>
            <w:right w:val="none" w:sz="0" w:space="0" w:color="auto"/>
          </w:divBdr>
        </w:div>
        <w:div w:id="1108812883">
          <w:marLeft w:val="0"/>
          <w:marRight w:val="0"/>
          <w:marTop w:val="0"/>
          <w:marBottom w:val="0"/>
          <w:divBdr>
            <w:top w:val="none" w:sz="0" w:space="0" w:color="auto"/>
            <w:left w:val="none" w:sz="0" w:space="0" w:color="auto"/>
            <w:bottom w:val="none" w:sz="0" w:space="0" w:color="auto"/>
            <w:right w:val="none" w:sz="0" w:space="0" w:color="auto"/>
          </w:divBdr>
        </w:div>
        <w:div w:id="172766266">
          <w:marLeft w:val="0"/>
          <w:marRight w:val="0"/>
          <w:marTop w:val="0"/>
          <w:marBottom w:val="0"/>
          <w:divBdr>
            <w:top w:val="none" w:sz="0" w:space="0" w:color="auto"/>
            <w:left w:val="none" w:sz="0" w:space="0" w:color="auto"/>
            <w:bottom w:val="none" w:sz="0" w:space="0" w:color="auto"/>
            <w:right w:val="none" w:sz="0" w:space="0" w:color="auto"/>
          </w:divBdr>
        </w:div>
        <w:div w:id="1054736416">
          <w:marLeft w:val="0"/>
          <w:marRight w:val="0"/>
          <w:marTop w:val="0"/>
          <w:marBottom w:val="0"/>
          <w:divBdr>
            <w:top w:val="none" w:sz="0" w:space="0" w:color="auto"/>
            <w:left w:val="none" w:sz="0" w:space="0" w:color="auto"/>
            <w:bottom w:val="none" w:sz="0" w:space="0" w:color="auto"/>
            <w:right w:val="none" w:sz="0" w:space="0" w:color="auto"/>
          </w:divBdr>
        </w:div>
        <w:div w:id="1508054106">
          <w:marLeft w:val="0"/>
          <w:marRight w:val="0"/>
          <w:marTop w:val="0"/>
          <w:marBottom w:val="0"/>
          <w:divBdr>
            <w:top w:val="none" w:sz="0" w:space="0" w:color="auto"/>
            <w:left w:val="none" w:sz="0" w:space="0" w:color="auto"/>
            <w:bottom w:val="none" w:sz="0" w:space="0" w:color="auto"/>
            <w:right w:val="none" w:sz="0" w:space="0" w:color="auto"/>
          </w:divBdr>
        </w:div>
        <w:div w:id="1355303937">
          <w:marLeft w:val="0"/>
          <w:marRight w:val="0"/>
          <w:marTop w:val="0"/>
          <w:marBottom w:val="0"/>
          <w:divBdr>
            <w:top w:val="none" w:sz="0" w:space="0" w:color="auto"/>
            <w:left w:val="none" w:sz="0" w:space="0" w:color="auto"/>
            <w:bottom w:val="none" w:sz="0" w:space="0" w:color="auto"/>
            <w:right w:val="none" w:sz="0" w:space="0" w:color="auto"/>
          </w:divBdr>
        </w:div>
        <w:div w:id="1595288089">
          <w:marLeft w:val="0"/>
          <w:marRight w:val="0"/>
          <w:marTop w:val="0"/>
          <w:marBottom w:val="0"/>
          <w:divBdr>
            <w:top w:val="none" w:sz="0" w:space="0" w:color="auto"/>
            <w:left w:val="none" w:sz="0" w:space="0" w:color="auto"/>
            <w:bottom w:val="none" w:sz="0" w:space="0" w:color="auto"/>
            <w:right w:val="none" w:sz="0" w:space="0" w:color="auto"/>
          </w:divBdr>
        </w:div>
        <w:div w:id="555627619">
          <w:marLeft w:val="0"/>
          <w:marRight w:val="0"/>
          <w:marTop w:val="0"/>
          <w:marBottom w:val="0"/>
          <w:divBdr>
            <w:top w:val="none" w:sz="0" w:space="0" w:color="auto"/>
            <w:left w:val="none" w:sz="0" w:space="0" w:color="auto"/>
            <w:bottom w:val="none" w:sz="0" w:space="0" w:color="auto"/>
            <w:right w:val="none" w:sz="0" w:space="0" w:color="auto"/>
          </w:divBdr>
        </w:div>
        <w:div w:id="1293363131">
          <w:marLeft w:val="0"/>
          <w:marRight w:val="0"/>
          <w:marTop w:val="0"/>
          <w:marBottom w:val="0"/>
          <w:divBdr>
            <w:top w:val="none" w:sz="0" w:space="0" w:color="auto"/>
            <w:left w:val="none" w:sz="0" w:space="0" w:color="auto"/>
            <w:bottom w:val="none" w:sz="0" w:space="0" w:color="auto"/>
            <w:right w:val="none" w:sz="0" w:space="0" w:color="auto"/>
          </w:divBdr>
        </w:div>
        <w:div w:id="1135179317">
          <w:marLeft w:val="0"/>
          <w:marRight w:val="0"/>
          <w:marTop w:val="0"/>
          <w:marBottom w:val="0"/>
          <w:divBdr>
            <w:top w:val="none" w:sz="0" w:space="0" w:color="auto"/>
            <w:left w:val="none" w:sz="0" w:space="0" w:color="auto"/>
            <w:bottom w:val="none" w:sz="0" w:space="0" w:color="auto"/>
            <w:right w:val="none" w:sz="0" w:space="0" w:color="auto"/>
          </w:divBdr>
        </w:div>
        <w:div w:id="208735129">
          <w:marLeft w:val="0"/>
          <w:marRight w:val="0"/>
          <w:marTop w:val="0"/>
          <w:marBottom w:val="0"/>
          <w:divBdr>
            <w:top w:val="none" w:sz="0" w:space="0" w:color="auto"/>
            <w:left w:val="none" w:sz="0" w:space="0" w:color="auto"/>
            <w:bottom w:val="none" w:sz="0" w:space="0" w:color="auto"/>
            <w:right w:val="none" w:sz="0" w:space="0" w:color="auto"/>
          </w:divBdr>
        </w:div>
        <w:div w:id="2003778556">
          <w:marLeft w:val="0"/>
          <w:marRight w:val="0"/>
          <w:marTop w:val="0"/>
          <w:marBottom w:val="0"/>
          <w:divBdr>
            <w:top w:val="none" w:sz="0" w:space="0" w:color="auto"/>
            <w:left w:val="none" w:sz="0" w:space="0" w:color="auto"/>
            <w:bottom w:val="none" w:sz="0" w:space="0" w:color="auto"/>
            <w:right w:val="none" w:sz="0" w:space="0" w:color="auto"/>
          </w:divBdr>
        </w:div>
        <w:div w:id="1397507453">
          <w:marLeft w:val="0"/>
          <w:marRight w:val="0"/>
          <w:marTop w:val="0"/>
          <w:marBottom w:val="0"/>
          <w:divBdr>
            <w:top w:val="none" w:sz="0" w:space="0" w:color="auto"/>
            <w:left w:val="none" w:sz="0" w:space="0" w:color="auto"/>
            <w:bottom w:val="none" w:sz="0" w:space="0" w:color="auto"/>
            <w:right w:val="none" w:sz="0" w:space="0" w:color="auto"/>
          </w:divBdr>
        </w:div>
        <w:div w:id="2027710014">
          <w:marLeft w:val="0"/>
          <w:marRight w:val="0"/>
          <w:marTop w:val="0"/>
          <w:marBottom w:val="0"/>
          <w:divBdr>
            <w:top w:val="none" w:sz="0" w:space="0" w:color="auto"/>
            <w:left w:val="none" w:sz="0" w:space="0" w:color="auto"/>
            <w:bottom w:val="none" w:sz="0" w:space="0" w:color="auto"/>
            <w:right w:val="none" w:sz="0" w:space="0" w:color="auto"/>
          </w:divBdr>
        </w:div>
        <w:div w:id="186068747">
          <w:marLeft w:val="0"/>
          <w:marRight w:val="0"/>
          <w:marTop w:val="0"/>
          <w:marBottom w:val="0"/>
          <w:divBdr>
            <w:top w:val="none" w:sz="0" w:space="0" w:color="auto"/>
            <w:left w:val="none" w:sz="0" w:space="0" w:color="auto"/>
            <w:bottom w:val="none" w:sz="0" w:space="0" w:color="auto"/>
            <w:right w:val="none" w:sz="0" w:space="0" w:color="auto"/>
          </w:divBdr>
        </w:div>
        <w:div w:id="1128662577">
          <w:marLeft w:val="0"/>
          <w:marRight w:val="0"/>
          <w:marTop w:val="0"/>
          <w:marBottom w:val="0"/>
          <w:divBdr>
            <w:top w:val="none" w:sz="0" w:space="0" w:color="auto"/>
            <w:left w:val="none" w:sz="0" w:space="0" w:color="auto"/>
            <w:bottom w:val="none" w:sz="0" w:space="0" w:color="auto"/>
            <w:right w:val="none" w:sz="0" w:space="0" w:color="auto"/>
          </w:divBdr>
        </w:div>
        <w:div w:id="399907152">
          <w:marLeft w:val="0"/>
          <w:marRight w:val="0"/>
          <w:marTop w:val="0"/>
          <w:marBottom w:val="0"/>
          <w:divBdr>
            <w:top w:val="none" w:sz="0" w:space="0" w:color="auto"/>
            <w:left w:val="none" w:sz="0" w:space="0" w:color="auto"/>
            <w:bottom w:val="none" w:sz="0" w:space="0" w:color="auto"/>
            <w:right w:val="none" w:sz="0" w:space="0" w:color="auto"/>
          </w:divBdr>
        </w:div>
        <w:div w:id="706565031">
          <w:marLeft w:val="0"/>
          <w:marRight w:val="0"/>
          <w:marTop w:val="0"/>
          <w:marBottom w:val="0"/>
          <w:divBdr>
            <w:top w:val="none" w:sz="0" w:space="0" w:color="auto"/>
            <w:left w:val="none" w:sz="0" w:space="0" w:color="auto"/>
            <w:bottom w:val="none" w:sz="0" w:space="0" w:color="auto"/>
            <w:right w:val="none" w:sz="0" w:space="0" w:color="auto"/>
          </w:divBdr>
        </w:div>
        <w:div w:id="1267930659">
          <w:marLeft w:val="0"/>
          <w:marRight w:val="0"/>
          <w:marTop w:val="0"/>
          <w:marBottom w:val="0"/>
          <w:divBdr>
            <w:top w:val="none" w:sz="0" w:space="0" w:color="auto"/>
            <w:left w:val="none" w:sz="0" w:space="0" w:color="auto"/>
            <w:bottom w:val="none" w:sz="0" w:space="0" w:color="auto"/>
            <w:right w:val="none" w:sz="0" w:space="0" w:color="auto"/>
          </w:divBdr>
        </w:div>
        <w:div w:id="1176388289">
          <w:marLeft w:val="0"/>
          <w:marRight w:val="0"/>
          <w:marTop w:val="0"/>
          <w:marBottom w:val="0"/>
          <w:divBdr>
            <w:top w:val="none" w:sz="0" w:space="0" w:color="auto"/>
            <w:left w:val="none" w:sz="0" w:space="0" w:color="auto"/>
            <w:bottom w:val="none" w:sz="0" w:space="0" w:color="auto"/>
            <w:right w:val="none" w:sz="0" w:space="0" w:color="auto"/>
          </w:divBdr>
        </w:div>
        <w:div w:id="2015106463">
          <w:marLeft w:val="0"/>
          <w:marRight w:val="0"/>
          <w:marTop w:val="0"/>
          <w:marBottom w:val="0"/>
          <w:divBdr>
            <w:top w:val="none" w:sz="0" w:space="0" w:color="auto"/>
            <w:left w:val="none" w:sz="0" w:space="0" w:color="auto"/>
            <w:bottom w:val="none" w:sz="0" w:space="0" w:color="auto"/>
            <w:right w:val="none" w:sz="0" w:space="0" w:color="auto"/>
          </w:divBdr>
        </w:div>
        <w:div w:id="131758116">
          <w:marLeft w:val="0"/>
          <w:marRight w:val="0"/>
          <w:marTop w:val="0"/>
          <w:marBottom w:val="0"/>
          <w:divBdr>
            <w:top w:val="none" w:sz="0" w:space="0" w:color="auto"/>
            <w:left w:val="none" w:sz="0" w:space="0" w:color="auto"/>
            <w:bottom w:val="none" w:sz="0" w:space="0" w:color="auto"/>
            <w:right w:val="none" w:sz="0" w:space="0" w:color="auto"/>
          </w:divBdr>
        </w:div>
        <w:div w:id="849754832">
          <w:marLeft w:val="0"/>
          <w:marRight w:val="0"/>
          <w:marTop w:val="0"/>
          <w:marBottom w:val="0"/>
          <w:divBdr>
            <w:top w:val="none" w:sz="0" w:space="0" w:color="auto"/>
            <w:left w:val="none" w:sz="0" w:space="0" w:color="auto"/>
            <w:bottom w:val="none" w:sz="0" w:space="0" w:color="auto"/>
            <w:right w:val="none" w:sz="0" w:space="0" w:color="auto"/>
          </w:divBdr>
        </w:div>
        <w:div w:id="1400134634">
          <w:marLeft w:val="0"/>
          <w:marRight w:val="0"/>
          <w:marTop w:val="0"/>
          <w:marBottom w:val="0"/>
          <w:divBdr>
            <w:top w:val="none" w:sz="0" w:space="0" w:color="auto"/>
            <w:left w:val="none" w:sz="0" w:space="0" w:color="auto"/>
            <w:bottom w:val="none" w:sz="0" w:space="0" w:color="auto"/>
            <w:right w:val="none" w:sz="0" w:space="0" w:color="auto"/>
          </w:divBdr>
        </w:div>
        <w:div w:id="1164975587">
          <w:marLeft w:val="0"/>
          <w:marRight w:val="0"/>
          <w:marTop w:val="0"/>
          <w:marBottom w:val="0"/>
          <w:divBdr>
            <w:top w:val="none" w:sz="0" w:space="0" w:color="auto"/>
            <w:left w:val="none" w:sz="0" w:space="0" w:color="auto"/>
            <w:bottom w:val="none" w:sz="0" w:space="0" w:color="auto"/>
            <w:right w:val="none" w:sz="0" w:space="0" w:color="auto"/>
          </w:divBdr>
        </w:div>
        <w:div w:id="465467464">
          <w:marLeft w:val="0"/>
          <w:marRight w:val="0"/>
          <w:marTop w:val="0"/>
          <w:marBottom w:val="0"/>
          <w:divBdr>
            <w:top w:val="none" w:sz="0" w:space="0" w:color="auto"/>
            <w:left w:val="none" w:sz="0" w:space="0" w:color="auto"/>
            <w:bottom w:val="none" w:sz="0" w:space="0" w:color="auto"/>
            <w:right w:val="none" w:sz="0" w:space="0" w:color="auto"/>
          </w:divBdr>
        </w:div>
        <w:div w:id="138767069">
          <w:marLeft w:val="0"/>
          <w:marRight w:val="0"/>
          <w:marTop w:val="0"/>
          <w:marBottom w:val="0"/>
          <w:divBdr>
            <w:top w:val="none" w:sz="0" w:space="0" w:color="auto"/>
            <w:left w:val="none" w:sz="0" w:space="0" w:color="auto"/>
            <w:bottom w:val="none" w:sz="0" w:space="0" w:color="auto"/>
            <w:right w:val="none" w:sz="0" w:space="0" w:color="auto"/>
          </w:divBdr>
        </w:div>
        <w:div w:id="1134256644">
          <w:marLeft w:val="0"/>
          <w:marRight w:val="0"/>
          <w:marTop w:val="0"/>
          <w:marBottom w:val="0"/>
          <w:divBdr>
            <w:top w:val="none" w:sz="0" w:space="0" w:color="auto"/>
            <w:left w:val="none" w:sz="0" w:space="0" w:color="auto"/>
            <w:bottom w:val="none" w:sz="0" w:space="0" w:color="auto"/>
            <w:right w:val="none" w:sz="0" w:space="0" w:color="auto"/>
          </w:divBdr>
        </w:div>
        <w:div w:id="1569145396">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535269780">
          <w:marLeft w:val="0"/>
          <w:marRight w:val="0"/>
          <w:marTop w:val="0"/>
          <w:marBottom w:val="0"/>
          <w:divBdr>
            <w:top w:val="none" w:sz="0" w:space="0" w:color="auto"/>
            <w:left w:val="none" w:sz="0" w:space="0" w:color="auto"/>
            <w:bottom w:val="none" w:sz="0" w:space="0" w:color="auto"/>
            <w:right w:val="none" w:sz="0" w:space="0" w:color="auto"/>
          </w:divBdr>
        </w:div>
        <w:div w:id="1463691755">
          <w:marLeft w:val="0"/>
          <w:marRight w:val="0"/>
          <w:marTop w:val="0"/>
          <w:marBottom w:val="0"/>
          <w:divBdr>
            <w:top w:val="none" w:sz="0" w:space="0" w:color="auto"/>
            <w:left w:val="none" w:sz="0" w:space="0" w:color="auto"/>
            <w:bottom w:val="none" w:sz="0" w:space="0" w:color="auto"/>
            <w:right w:val="none" w:sz="0" w:space="0" w:color="auto"/>
          </w:divBdr>
        </w:div>
        <w:div w:id="671834327">
          <w:marLeft w:val="0"/>
          <w:marRight w:val="0"/>
          <w:marTop w:val="0"/>
          <w:marBottom w:val="0"/>
          <w:divBdr>
            <w:top w:val="none" w:sz="0" w:space="0" w:color="auto"/>
            <w:left w:val="none" w:sz="0" w:space="0" w:color="auto"/>
            <w:bottom w:val="none" w:sz="0" w:space="0" w:color="auto"/>
            <w:right w:val="none" w:sz="0" w:space="0" w:color="auto"/>
          </w:divBdr>
        </w:div>
        <w:div w:id="1283539701">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271787683">
          <w:marLeft w:val="0"/>
          <w:marRight w:val="0"/>
          <w:marTop w:val="0"/>
          <w:marBottom w:val="0"/>
          <w:divBdr>
            <w:top w:val="none" w:sz="0" w:space="0" w:color="auto"/>
            <w:left w:val="none" w:sz="0" w:space="0" w:color="auto"/>
            <w:bottom w:val="none" w:sz="0" w:space="0" w:color="auto"/>
            <w:right w:val="none" w:sz="0" w:space="0" w:color="auto"/>
          </w:divBdr>
        </w:div>
        <w:div w:id="1218319358">
          <w:marLeft w:val="0"/>
          <w:marRight w:val="0"/>
          <w:marTop w:val="0"/>
          <w:marBottom w:val="0"/>
          <w:divBdr>
            <w:top w:val="none" w:sz="0" w:space="0" w:color="auto"/>
            <w:left w:val="none" w:sz="0" w:space="0" w:color="auto"/>
            <w:bottom w:val="none" w:sz="0" w:space="0" w:color="auto"/>
            <w:right w:val="none" w:sz="0" w:space="0" w:color="auto"/>
          </w:divBdr>
        </w:div>
        <w:div w:id="2143617437">
          <w:marLeft w:val="0"/>
          <w:marRight w:val="0"/>
          <w:marTop w:val="0"/>
          <w:marBottom w:val="0"/>
          <w:divBdr>
            <w:top w:val="none" w:sz="0" w:space="0" w:color="auto"/>
            <w:left w:val="none" w:sz="0" w:space="0" w:color="auto"/>
            <w:bottom w:val="none" w:sz="0" w:space="0" w:color="auto"/>
            <w:right w:val="none" w:sz="0" w:space="0" w:color="auto"/>
          </w:divBdr>
        </w:div>
        <w:div w:id="2084714950">
          <w:marLeft w:val="0"/>
          <w:marRight w:val="0"/>
          <w:marTop w:val="0"/>
          <w:marBottom w:val="0"/>
          <w:divBdr>
            <w:top w:val="none" w:sz="0" w:space="0" w:color="auto"/>
            <w:left w:val="none" w:sz="0" w:space="0" w:color="auto"/>
            <w:bottom w:val="none" w:sz="0" w:space="0" w:color="auto"/>
            <w:right w:val="none" w:sz="0" w:space="0" w:color="auto"/>
          </w:divBdr>
        </w:div>
        <w:div w:id="177281509">
          <w:marLeft w:val="0"/>
          <w:marRight w:val="0"/>
          <w:marTop w:val="0"/>
          <w:marBottom w:val="0"/>
          <w:divBdr>
            <w:top w:val="none" w:sz="0" w:space="0" w:color="auto"/>
            <w:left w:val="none" w:sz="0" w:space="0" w:color="auto"/>
            <w:bottom w:val="none" w:sz="0" w:space="0" w:color="auto"/>
            <w:right w:val="none" w:sz="0" w:space="0" w:color="auto"/>
          </w:divBdr>
        </w:div>
        <w:div w:id="2141921884">
          <w:marLeft w:val="0"/>
          <w:marRight w:val="0"/>
          <w:marTop w:val="0"/>
          <w:marBottom w:val="0"/>
          <w:divBdr>
            <w:top w:val="none" w:sz="0" w:space="0" w:color="auto"/>
            <w:left w:val="none" w:sz="0" w:space="0" w:color="auto"/>
            <w:bottom w:val="none" w:sz="0" w:space="0" w:color="auto"/>
            <w:right w:val="none" w:sz="0" w:space="0" w:color="auto"/>
          </w:divBdr>
        </w:div>
        <w:div w:id="804346781">
          <w:marLeft w:val="0"/>
          <w:marRight w:val="0"/>
          <w:marTop w:val="0"/>
          <w:marBottom w:val="0"/>
          <w:divBdr>
            <w:top w:val="none" w:sz="0" w:space="0" w:color="auto"/>
            <w:left w:val="none" w:sz="0" w:space="0" w:color="auto"/>
            <w:bottom w:val="none" w:sz="0" w:space="0" w:color="auto"/>
            <w:right w:val="none" w:sz="0" w:space="0" w:color="auto"/>
          </w:divBdr>
        </w:div>
        <w:div w:id="723796396">
          <w:marLeft w:val="0"/>
          <w:marRight w:val="0"/>
          <w:marTop w:val="0"/>
          <w:marBottom w:val="0"/>
          <w:divBdr>
            <w:top w:val="none" w:sz="0" w:space="0" w:color="auto"/>
            <w:left w:val="none" w:sz="0" w:space="0" w:color="auto"/>
            <w:bottom w:val="none" w:sz="0" w:space="0" w:color="auto"/>
            <w:right w:val="none" w:sz="0" w:space="0" w:color="auto"/>
          </w:divBdr>
        </w:div>
        <w:div w:id="2138060176">
          <w:marLeft w:val="0"/>
          <w:marRight w:val="0"/>
          <w:marTop w:val="0"/>
          <w:marBottom w:val="0"/>
          <w:divBdr>
            <w:top w:val="none" w:sz="0" w:space="0" w:color="auto"/>
            <w:left w:val="none" w:sz="0" w:space="0" w:color="auto"/>
            <w:bottom w:val="none" w:sz="0" w:space="0" w:color="auto"/>
            <w:right w:val="none" w:sz="0" w:space="0" w:color="auto"/>
          </w:divBdr>
        </w:div>
        <w:div w:id="1596325902">
          <w:marLeft w:val="0"/>
          <w:marRight w:val="0"/>
          <w:marTop w:val="0"/>
          <w:marBottom w:val="0"/>
          <w:divBdr>
            <w:top w:val="none" w:sz="0" w:space="0" w:color="auto"/>
            <w:left w:val="none" w:sz="0" w:space="0" w:color="auto"/>
            <w:bottom w:val="none" w:sz="0" w:space="0" w:color="auto"/>
            <w:right w:val="none" w:sz="0" w:space="0" w:color="auto"/>
          </w:divBdr>
        </w:div>
        <w:div w:id="492259529">
          <w:marLeft w:val="0"/>
          <w:marRight w:val="0"/>
          <w:marTop w:val="0"/>
          <w:marBottom w:val="0"/>
          <w:divBdr>
            <w:top w:val="none" w:sz="0" w:space="0" w:color="auto"/>
            <w:left w:val="none" w:sz="0" w:space="0" w:color="auto"/>
            <w:bottom w:val="none" w:sz="0" w:space="0" w:color="auto"/>
            <w:right w:val="none" w:sz="0" w:space="0" w:color="auto"/>
          </w:divBdr>
        </w:div>
        <w:div w:id="1999844902">
          <w:marLeft w:val="0"/>
          <w:marRight w:val="0"/>
          <w:marTop w:val="0"/>
          <w:marBottom w:val="0"/>
          <w:divBdr>
            <w:top w:val="none" w:sz="0" w:space="0" w:color="auto"/>
            <w:left w:val="none" w:sz="0" w:space="0" w:color="auto"/>
            <w:bottom w:val="none" w:sz="0" w:space="0" w:color="auto"/>
            <w:right w:val="none" w:sz="0" w:space="0" w:color="auto"/>
          </w:divBdr>
        </w:div>
        <w:div w:id="1969047729">
          <w:marLeft w:val="0"/>
          <w:marRight w:val="0"/>
          <w:marTop w:val="0"/>
          <w:marBottom w:val="0"/>
          <w:divBdr>
            <w:top w:val="none" w:sz="0" w:space="0" w:color="auto"/>
            <w:left w:val="none" w:sz="0" w:space="0" w:color="auto"/>
            <w:bottom w:val="none" w:sz="0" w:space="0" w:color="auto"/>
            <w:right w:val="none" w:sz="0" w:space="0" w:color="auto"/>
          </w:divBdr>
        </w:div>
        <w:div w:id="1196847481">
          <w:marLeft w:val="0"/>
          <w:marRight w:val="0"/>
          <w:marTop w:val="0"/>
          <w:marBottom w:val="0"/>
          <w:divBdr>
            <w:top w:val="none" w:sz="0" w:space="0" w:color="auto"/>
            <w:left w:val="none" w:sz="0" w:space="0" w:color="auto"/>
            <w:bottom w:val="none" w:sz="0" w:space="0" w:color="auto"/>
            <w:right w:val="none" w:sz="0" w:space="0" w:color="auto"/>
          </w:divBdr>
        </w:div>
        <w:div w:id="1350180329">
          <w:marLeft w:val="0"/>
          <w:marRight w:val="0"/>
          <w:marTop w:val="0"/>
          <w:marBottom w:val="0"/>
          <w:divBdr>
            <w:top w:val="none" w:sz="0" w:space="0" w:color="auto"/>
            <w:left w:val="none" w:sz="0" w:space="0" w:color="auto"/>
            <w:bottom w:val="none" w:sz="0" w:space="0" w:color="auto"/>
            <w:right w:val="none" w:sz="0" w:space="0" w:color="auto"/>
          </w:divBdr>
        </w:div>
        <w:div w:id="215048272">
          <w:marLeft w:val="0"/>
          <w:marRight w:val="0"/>
          <w:marTop w:val="0"/>
          <w:marBottom w:val="0"/>
          <w:divBdr>
            <w:top w:val="none" w:sz="0" w:space="0" w:color="auto"/>
            <w:left w:val="none" w:sz="0" w:space="0" w:color="auto"/>
            <w:bottom w:val="none" w:sz="0" w:space="0" w:color="auto"/>
            <w:right w:val="none" w:sz="0" w:space="0" w:color="auto"/>
          </w:divBdr>
        </w:div>
        <w:div w:id="119765870">
          <w:marLeft w:val="0"/>
          <w:marRight w:val="0"/>
          <w:marTop w:val="0"/>
          <w:marBottom w:val="0"/>
          <w:divBdr>
            <w:top w:val="none" w:sz="0" w:space="0" w:color="auto"/>
            <w:left w:val="none" w:sz="0" w:space="0" w:color="auto"/>
            <w:bottom w:val="none" w:sz="0" w:space="0" w:color="auto"/>
            <w:right w:val="none" w:sz="0" w:space="0" w:color="auto"/>
          </w:divBdr>
        </w:div>
        <w:div w:id="1683049717">
          <w:marLeft w:val="0"/>
          <w:marRight w:val="0"/>
          <w:marTop w:val="0"/>
          <w:marBottom w:val="0"/>
          <w:divBdr>
            <w:top w:val="none" w:sz="0" w:space="0" w:color="auto"/>
            <w:left w:val="none" w:sz="0" w:space="0" w:color="auto"/>
            <w:bottom w:val="none" w:sz="0" w:space="0" w:color="auto"/>
            <w:right w:val="none" w:sz="0" w:space="0" w:color="auto"/>
          </w:divBdr>
        </w:div>
        <w:div w:id="1740248679">
          <w:marLeft w:val="0"/>
          <w:marRight w:val="0"/>
          <w:marTop w:val="0"/>
          <w:marBottom w:val="0"/>
          <w:divBdr>
            <w:top w:val="none" w:sz="0" w:space="0" w:color="auto"/>
            <w:left w:val="none" w:sz="0" w:space="0" w:color="auto"/>
            <w:bottom w:val="none" w:sz="0" w:space="0" w:color="auto"/>
            <w:right w:val="none" w:sz="0" w:space="0" w:color="auto"/>
          </w:divBdr>
        </w:div>
        <w:div w:id="1906989022">
          <w:marLeft w:val="0"/>
          <w:marRight w:val="0"/>
          <w:marTop w:val="0"/>
          <w:marBottom w:val="0"/>
          <w:divBdr>
            <w:top w:val="none" w:sz="0" w:space="0" w:color="auto"/>
            <w:left w:val="none" w:sz="0" w:space="0" w:color="auto"/>
            <w:bottom w:val="none" w:sz="0" w:space="0" w:color="auto"/>
            <w:right w:val="none" w:sz="0" w:space="0" w:color="auto"/>
          </w:divBdr>
        </w:div>
        <w:div w:id="18161334">
          <w:marLeft w:val="0"/>
          <w:marRight w:val="0"/>
          <w:marTop w:val="0"/>
          <w:marBottom w:val="0"/>
          <w:divBdr>
            <w:top w:val="none" w:sz="0" w:space="0" w:color="auto"/>
            <w:left w:val="none" w:sz="0" w:space="0" w:color="auto"/>
            <w:bottom w:val="none" w:sz="0" w:space="0" w:color="auto"/>
            <w:right w:val="none" w:sz="0" w:space="0" w:color="auto"/>
          </w:divBdr>
        </w:div>
        <w:div w:id="898051796">
          <w:marLeft w:val="0"/>
          <w:marRight w:val="0"/>
          <w:marTop w:val="0"/>
          <w:marBottom w:val="0"/>
          <w:divBdr>
            <w:top w:val="none" w:sz="0" w:space="0" w:color="auto"/>
            <w:left w:val="none" w:sz="0" w:space="0" w:color="auto"/>
            <w:bottom w:val="none" w:sz="0" w:space="0" w:color="auto"/>
            <w:right w:val="none" w:sz="0" w:space="0" w:color="auto"/>
          </w:divBdr>
        </w:div>
        <w:div w:id="489104846">
          <w:marLeft w:val="0"/>
          <w:marRight w:val="0"/>
          <w:marTop w:val="0"/>
          <w:marBottom w:val="0"/>
          <w:divBdr>
            <w:top w:val="none" w:sz="0" w:space="0" w:color="auto"/>
            <w:left w:val="none" w:sz="0" w:space="0" w:color="auto"/>
            <w:bottom w:val="none" w:sz="0" w:space="0" w:color="auto"/>
            <w:right w:val="none" w:sz="0" w:space="0" w:color="auto"/>
          </w:divBdr>
        </w:div>
        <w:div w:id="1816605589">
          <w:marLeft w:val="0"/>
          <w:marRight w:val="0"/>
          <w:marTop w:val="0"/>
          <w:marBottom w:val="0"/>
          <w:divBdr>
            <w:top w:val="none" w:sz="0" w:space="0" w:color="auto"/>
            <w:left w:val="none" w:sz="0" w:space="0" w:color="auto"/>
            <w:bottom w:val="none" w:sz="0" w:space="0" w:color="auto"/>
            <w:right w:val="none" w:sz="0" w:space="0" w:color="auto"/>
          </w:divBdr>
        </w:div>
        <w:div w:id="1729062291">
          <w:marLeft w:val="0"/>
          <w:marRight w:val="0"/>
          <w:marTop w:val="0"/>
          <w:marBottom w:val="0"/>
          <w:divBdr>
            <w:top w:val="none" w:sz="0" w:space="0" w:color="auto"/>
            <w:left w:val="none" w:sz="0" w:space="0" w:color="auto"/>
            <w:bottom w:val="none" w:sz="0" w:space="0" w:color="auto"/>
            <w:right w:val="none" w:sz="0" w:space="0" w:color="auto"/>
          </w:divBdr>
        </w:div>
        <w:div w:id="1559439240">
          <w:marLeft w:val="0"/>
          <w:marRight w:val="0"/>
          <w:marTop w:val="0"/>
          <w:marBottom w:val="0"/>
          <w:divBdr>
            <w:top w:val="none" w:sz="0" w:space="0" w:color="auto"/>
            <w:left w:val="none" w:sz="0" w:space="0" w:color="auto"/>
            <w:bottom w:val="none" w:sz="0" w:space="0" w:color="auto"/>
            <w:right w:val="none" w:sz="0" w:space="0" w:color="auto"/>
          </w:divBdr>
        </w:div>
        <w:div w:id="520096861">
          <w:marLeft w:val="0"/>
          <w:marRight w:val="0"/>
          <w:marTop w:val="0"/>
          <w:marBottom w:val="0"/>
          <w:divBdr>
            <w:top w:val="none" w:sz="0" w:space="0" w:color="auto"/>
            <w:left w:val="none" w:sz="0" w:space="0" w:color="auto"/>
            <w:bottom w:val="none" w:sz="0" w:space="0" w:color="auto"/>
            <w:right w:val="none" w:sz="0" w:space="0" w:color="auto"/>
          </w:divBdr>
        </w:div>
        <w:div w:id="1441561171">
          <w:marLeft w:val="0"/>
          <w:marRight w:val="0"/>
          <w:marTop w:val="0"/>
          <w:marBottom w:val="0"/>
          <w:divBdr>
            <w:top w:val="none" w:sz="0" w:space="0" w:color="auto"/>
            <w:left w:val="none" w:sz="0" w:space="0" w:color="auto"/>
            <w:bottom w:val="none" w:sz="0" w:space="0" w:color="auto"/>
            <w:right w:val="none" w:sz="0" w:space="0" w:color="auto"/>
          </w:divBdr>
        </w:div>
        <w:div w:id="2019652822">
          <w:marLeft w:val="0"/>
          <w:marRight w:val="0"/>
          <w:marTop w:val="0"/>
          <w:marBottom w:val="0"/>
          <w:divBdr>
            <w:top w:val="none" w:sz="0" w:space="0" w:color="auto"/>
            <w:left w:val="none" w:sz="0" w:space="0" w:color="auto"/>
            <w:bottom w:val="none" w:sz="0" w:space="0" w:color="auto"/>
            <w:right w:val="none" w:sz="0" w:space="0" w:color="auto"/>
          </w:divBdr>
        </w:div>
        <w:div w:id="1400250442">
          <w:marLeft w:val="0"/>
          <w:marRight w:val="0"/>
          <w:marTop w:val="0"/>
          <w:marBottom w:val="0"/>
          <w:divBdr>
            <w:top w:val="none" w:sz="0" w:space="0" w:color="auto"/>
            <w:left w:val="none" w:sz="0" w:space="0" w:color="auto"/>
            <w:bottom w:val="none" w:sz="0" w:space="0" w:color="auto"/>
            <w:right w:val="none" w:sz="0" w:space="0" w:color="auto"/>
          </w:divBdr>
        </w:div>
        <w:div w:id="973753111">
          <w:marLeft w:val="0"/>
          <w:marRight w:val="0"/>
          <w:marTop w:val="0"/>
          <w:marBottom w:val="0"/>
          <w:divBdr>
            <w:top w:val="none" w:sz="0" w:space="0" w:color="auto"/>
            <w:left w:val="none" w:sz="0" w:space="0" w:color="auto"/>
            <w:bottom w:val="none" w:sz="0" w:space="0" w:color="auto"/>
            <w:right w:val="none" w:sz="0" w:space="0" w:color="auto"/>
          </w:divBdr>
        </w:div>
        <w:div w:id="1303197418">
          <w:marLeft w:val="0"/>
          <w:marRight w:val="0"/>
          <w:marTop w:val="0"/>
          <w:marBottom w:val="0"/>
          <w:divBdr>
            <w:top w:val="none" w:sz="0" w:space="0" w:color="auto"/>
            <w:left w:val="none" w:sz="0" w:space="0" w:color="auto"/>
            <w:bottom w:val="none" w:sz="0" w:space="0" w:color="auto"/>
            <w:right w:val="none" w:sz="0" w:space="0" w:color="auto"/>
          </w:divBdr>
        </w:div>
        <w:div w:id="1151865062">
          <w:marLeft w:val="0"/>
          <w:marRight w:val="0"/>
          <w:marTop w:val="0"/>
          <w:marBottom w:val="0"/>
          <w:divBdr>
            <w:top w:val="none" w:sz="0" w:space="0" w:color="auto"/>
            <w:left w:val="none" w:sz="0" w:space="0" w:color="auto"/>
            <w:bottom w:val="none" w:sz="0" w:space="0" w:color="auto"/>
            <w:right w:val="none" w:sz="0" w:space="0" w:color="auto"/>
          </w:divBdr>
        </w:div>
        <w:div w:id="1720471130">
          <w:marLeft w:val="0"/>
          <w:marRight w:val="0"/>
          <w:marTop w:val="0"/>
          <w:marBottom w:val="0"/>
          <w:divBdr>
            <w:top w:val="none" w:sz="0" w:space="0" w:color="auto"/>
            <w:left w:val="none" w:sz="0" w:space="0" w:color="auto"/>
            <w:bottom w:val="none" w:sz="0" w:space="0" w:color="auto"/>
            <w:right w:val="none" w:sz="0" w:space="0" w:color="auto"/>
          </w:divBdr>
        </w:div>
        <w:div w:id="2033648648">
          <w:marLeft w:val="0"/>
          <w:marRight w:val="0"/>
          <w:marTop w:val="0"/>
          <w:marBottom w:val="0"/>
          <w:divBdr>
            <w:top w:val="none" w:sz="0" w:space="0" w:color="auto"/>
            <w:left w:val="none" w:sz="0" w:space="0" w:color="auto"/>
            <w:bottom w:val="none" w:sz="0" w:space="0" w:color="auto"/>
            <w:right w:val="none" w:sz="0" w:space="0" w:color="auto"/>
          </w:divBdr>
        </w:div>
        <w:div w:id="808017937">
          <w:marLeft w:val="0"/>
          <w:marRight w:val="0"/>
          <w:marTop w:val="0"/>
          <w:marBottom w:val="0"/>
          <w:divBdr>
            <w:top w:val="none" w:sz="0" w:space="0" w:color="auto"/>
            <w:left w:val="none" w:sz="0" w:space="0" w:color="auto"/>
            <w:bottom w:val="none" w:sz="0" w:space="0" w:color="auto"/>
            <w:right w:val="none" w:sz="0" w:space="0" w:color="auto"/>
          </w:divBdr>
        </w:div>
        <w:div w:id="496045215">
          <w:marLeft w:val="0"/>
          <w:marRight w:val="0"/>
          <w:marTop w:val="0"/>
          <w:marBottom w:val="0"/>
          <w:divBdr>
            <w:top w:val="none" w:sz="0" w:space="0" w:color="auto"/>
            <w:left w:val="none" w:sz="0" w:space="0" w:color="auto"/>
            <w:bottom w:val="none" w:sz="0" w:space="0" w:color="auto"/>
            <w:right w:val="none" w:sz="0" w:space="0" w:color="auto"/>
          </w:divBdr>
        </w:div>
        <w:div w:id="1146241417">
          <w:marLeft w:val="0"/>
          <w:marRight w:val="0"/>
          <w:marTop w:val="0"/>
          <w:marBottom w:val="0"/>
          <w:divBdr>
            <w:top w:val="none" w:sz="0" w:space="0" w:color="auto"/>
            <w:left w:val="none" w:sz="0" w:space="0" w:color="auto"/>
            <w:bottom w:val="none" w:sz="0" w:space="0" w:color="auto"/>
            <w:right w:val="none" w:sz="0" w:space="0" w:color="auto"/>
          </w:divBdr>
        </w:div>
        <w:div w:id="1319189950">
          <w:marLeft w:val="0"/>
          <w:marRight w:val="0"/>
          <w:marTop w:val="0"/>
          <w:marBottom w:val="0"/>
          <w:divBdr>
            <w:top w:val="none" w:sz="0" w:space="0" w:color="auto"/>
            <w:left w:val="none" w:sz="0" w:space="0" w:color="auto"/>
            <w:bottom w:val="none" w:sz="0" w:space="0" w:color="auto"/>
            <w:right w:val="none" w:sz="0" w:space="0" w:color="auto"/>
          </w:divBdr>
        </w:div>
        <w:div w:id="1105618331">
          <w:marLeft w:val="0"/>
          <w:marRight w:val="0"/>
          <w:marTop w:val="0"/>
          <w:marBottom w:val="0"/>
          <w:divBdr>
            <w:top w:val="none" w:sz="0" w:space="0" w:color="auto"/>
            <w:left w:val="none" w:sz="0" w:space="0" w:color="auto"/>
            <w:bottom w:val="none" w:sz="0" w:space="0" w:color="auto"/>
            <w:right w:val="none" w:sz="0" w:space="0" w:color="auto"/>
          </w:divBdr>
        </w:div>
        <w:div w:id="157619123">
          <w:marLeft w:val="0"/>
          <w:marRight w:val="0"/>
          <w:marTop w:val="0"/>
          <w:marBottom w:val="0"/>
          <w:divBdr>
            <w:top w:val="none" w:sz="0" w:space="0" w:color="auto"/>
            <w:left w:val="none" w:sz="0" w:space="0" w:color="auto"/>
            <w:bottom w:val="none" w:sz="0" w:space="0" w:color="auto"/>
            <w:right w:val="none" w:sz="0" w:space="0" w:color="auto"/>
          </w:divBdr>
        </w:div>
        <w:div w:id="1428381390">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405954886">
          <w:marLeft w:val="0"/>
          <w:marRight w:val="0"/>
          <w:marTop w:val="0"/>
          <w:marBottom w:val="0"/>
          <w:divBdr>
            <w:top w:val="none" w:sz="0" w:space="0" w:color="auto"/>
            <w:left w:val="none" w:sz="0" w:space="0" w:color="auto"/>
            <w:bottom w:val="none" w:sz="0" w:space="0" w:color="auto"/>
            <w:right w:val="none" w:sz="0" w:space="0" w:color="auto"/>
          </w:divBdr>
        </w:div>
        <w:div w:id="1811897628">
          <w:marLeft w:val="0"/>
          <w:marRight w:val="0"/>
          <w:marTop w:val="0"/>
          <w:marBottom w:val="0"/>
          <w:divBdr>
            <w:top w:val="none" w:sz="0" w:space="0" w:color="auto"/>
            <w:left w:val="none" w:sz="0" w:space="0" w:color="auto"/>
            <w:bottom w:val="none" w:sz="0" w:space="0" w:color="auto"/>
            <w:right w:val="none" w:sz="0" w:space="0" w:color="auto"/>
          </w:divBdr>
        </w:div>
        <w:div w:id="519053709">
          <w:marLeft w:val="0"/>
          <w:marRight w:val="0"/>
          <w:marTop w:val="0"/>
          <w:marBottom w:val="0"/>
          <w:divBdr>
            <w:top w:val="none" w:sz="0" w:space="0" w:color="auto"/>
            <w:left w:val="none" w:sz="0" w:space="0" w:color="auto"/>
            <w:bottom w:val="none" w:sz="0" w:space="0" w:color="auto"/>
            <w:right w:val="none" w:sz="0" w:space="0" w:color="auto"/>
          </w:divBdr>
        </w:div>
        <w:div w:id="998579999">
          <w:marLeft w:val="0"/>
          <w:marRight w:val="0"/>
          <w:marTop w:val="0"/>
          <w:marBottom w:val="0"/>
          <w:divBdr>
            <w:top w:val="none" w:sz="0" w:space="0" w:color="auto"/>
            <w:left w:val="none" w:sz="0" w:space="0" w:color="auto"/>
            <w:bottom w:val="none" w:sz="0" w:space="0" w:color="auto"/>
            <w:right w:val="none" w:sz="0" w:space="0" w:color="auto"/>
          </w:divBdr>
        </w:div>
        <w:div w:id="166284853">
          <w:marLeft w:val="0"/>
          <w:marRight w:val="0"/>
          <w:marTop w:val="0"/>
          <w:marBottom w:val="0"/>
          <w:divBdr>
            <w:top w:val="none" w:sz="0" w:space="0" w:color="auto"/>
            <w:left w:val="none" w:sz="0" w:space="0" w:color="auto"/>
            <w:bottom w:val="none" w:sz="0" w:space="0" w:color="auto"/>
            <w:right w:val="none" w:sz="0" w:space="0" w:color="auto"/>
          </w:divBdr>
        </w:div>
        <w:div w:id="1487554154">
          <w:marLeft w:val="0"/>
          <w:marRight w:val="0"/>
          <w:marTop w:val="0"/>
          <w:marBottom w:val="0"/>
          <w:divBdr>
            <w:top w:val="none" w:sz="0" w:space="0" w:color="auto"/>
            <w:left w:val="none" w:sz="0" w:space="0" w:color="auto"/>
            <w:bottom w:val="none" w:sz="0" w:space="0" w:color="auto"/>
            <w:right w:val="none" w:sz="0" w:space="0" w:color="auto"/>
          </w:divBdr>
        </w:div>
        <w:div w:id="1822231459">
          <w:marLeft w:val="0"/>
          <w:marRight w:val="0"/>
          <w:marTop w:val="0"/>
          <w:marBottom w:val="0"/>
          <w:divBdr>
            <w:top w:val="none" w:sz="0" w:space="0" w:color="auto"/>
            <w:left w:val="none" w:sz="0" w:space="0" w:color="auto"/>
            <w:bottom w:val="none" w:sz="0" w:space="0" w:color="auto"/>
            <w:right w:val="none" w:sz="0" w:space="0" w:color="auto"/>
          </w:divBdr>
        </w:div>
        <w:div w:id="1976369730">
          <w:marLeft w:val="0"/>
          <w:marRight w:val="0"/>
          <w:marTop w:val="0"/>
          <w:marBottom w:val="0"/>
          <w:divBdr>
            <w:top w:val="none" w:sz="0" w:space="0" w:color="auto"/>
            <w:left w:val="none" w:sz="0" w:space="0" w:color="auto"/>
            <w:bottom w:val="none" w:sz="0" w:space="0" w:color="auto"/>
            <w:right w:val="none" w:sz="0" w:space="0" w:color="auto"/>
          </w:divBdr>
        </w:div>
        <w:div w:id="461458646">
          <w:marLeft w:val="0"/>
          <w:marRight w:val="0"/>
          <w:marTop w:val="0"/>
          <w:marBottom w:val="0"/>
          <w:divBdr>
            <w:top w:val="none" w:sz="0" w:space="0" w:color="auto"/>
            <w:left w:val="none" w:sz="0" w:space="0" w:color="auto"/>
            <w:bottom w:val="none" w:sz="0" w:space="0" w:color="auto"/>
            <w:right w:val="none" w:sz="0" w:space="0" w:color="auto"/>
          </w:divBdr>
        </w:div>
        <w:div w:id="1581020455">
          <w:marLeft w:val="0"/>
          <w:marRight w:val="0"/>
          <w:marTop w:val="0"/>
          <w:marBottom w:val="0"/>
          <w:divBdr>
            <w:top w:val="none" w:sz="0" w:space="0" w:color="auto"/>
            <w:left w:val="none" w:sz="0" w:space="0" w:color="auto"/>
            <w:bottom w:val="none" w:sz="0" w:space="0" w:color="auto"/>
            <w:right w:val="none" w:sz="0" w:space="0" w:color="auto"/>
          </w:divBdr>
        </w:div>
        <w:div w:id="1986010687">
          <w:marLeft w:val="0"/>
          <w:marRight w:val="0"/>
          <w:marTop w:val="0"/>
          <w:marBottom w:val="0"/>
          <w:divBdr>
            <w:top w:val="none" w:sz="0" w:space="0" w:color="auto"/>
            <w:left w:val="none" w:sz="0" w:space="0" w:color="auto"/>
            <w:bottom w:val="none" w:sz="0" w:space="0" w:color="auto"/>
            <w:right w:val="none" w:sz="0" w:space="0" w:color="auto"/>
          </w:divBdr>
        </w:div>
      </w:divsChild>
    </w:div>
    <w:div w:id="1656713868">
      <w:bodyDiv w:val="1"/>
      <w:marLeft w:val="0"/>
      <w:marRight w:val="0"/>
      <w:marTop w:val="0"/>
      <w:marBottom w:val="0"/>
      <w:divBdr>
        <w:top w:val="none" w:sz="0" w:space="0" w:color="auto"/>
        <w:left w:val="none" w:sz="0" w:space="0" w:color="auto"/>
        <w:bottom w:val="none" w:sz="0" w:space="0" w:color="auto"/>
        <w:right w:val="none" w:sz="0" w:space="0" w:color="auto"/>
      </w:divBdr>
      <w:divsChild>
        <w:div w:id="519702320">
          <w:marLeft w:val="547"/>
          <w:marRight w:val="0"/>
          <w:marTop w:val="120"/>
          <w:marBottom w:val="120"/>
          <w:divBdr>
            <w:top w:val="none" w:sz="0" w:space="0" w:color="auto"/>
            <w:left w:val="none" w:sz="0" w:space="0" w:color="auto"/>
            <w:bottom w:val="none" w:sz="0" w:space="0" w:color="auto"/>
            <w:right w:val="none" w:sz="0" w:space="0" w:color="auto"/>
          </w:divBdr>
        </w:div>
        <w:div w:id="1301495746">
          <w:marLeft w:val="1166"/>
          <w:marRight w:val="0"/>
          <w:marTop w:val="120"/>
          <w:marBottom w:val="120"/>
          <w:divBdr>
            <w:top w:val="none" w:sz="0" w:space="0" w:color="auto"/>
            <w:left w:val="none" w:sz="0" w:space="0" w:color="auto"/>
            <w:bottom w:val="none" w:sz="0" w:space="0" w:color="auto"/>
            <w:right w:val="none" w:sz="0" w:space="0" w:color="auto"/>
          </w:divBdr>
        </w:div>
        <w:div w:id="842159714">
          <w:marLeft w:val="547"/>
          <w:marRight w:val="0"/>
          <w:marTop w:val="120"/>
          <w:marBottom w:val="120"/>
          <w:divBdr>
            <w:top w:val="none" w:sz="0" w:space="0" w:color="auto"/>
            <w:left w:val="none" w:sz="0" w:space="0" w:color="auto"/>
            <w:bottom w:val="none" w:sz="0" w:space="0" w:color="auto"/>
            <w:right w:val="none" w:sz="0" w:space="0" w:color="auto"/>
          </w:divBdr>
        </w:div>
        <w:div w:id="503014011">
          <w:marLeft w:val="1166"/>
          <w:marRight w:val="0"/>
          <w:marTop w:val="120"/>
          <w:marBottom w:val="120"/>
          <w:divBdr>
            <w:top w:val="none" w:sz="0" w:space="0" w:color="auto"/>
            <w:left w:val="none" w:sz="0" w:space="0" w:color="auto"/>
            <w:bottom w:val="none" w:sz="0" w:space="0" w:color="auto"/>
            <w:right w:val="none" w:sz="0" w:space="0" w:color="auto"/>
          </w:divBdr>
        </w:div>
        <w:div w:id="507840049">
          <w:marLeft w:val="1166"/>
          <w:marRight w:val="0"/>
          <w:marTop w:val="120"/>
          <w:marBottom w:val="120"/>
          <w:divBdr>
            <w:top w:val="none" w:sz="0" w:space="0" w:color="auto"/>
            <w:left w:val="none" w:sz="0" w:space="0" w:color="auto"/>
            <w:bottom w:val="none" w:sz="0" w:space="0" w:color="auto"/>
            <w:right w:val="none" w:sz="0" w:space="0" w:color="auto"/>
          </w:divBdr>
        </w:div>
        <w:div w:id="1781531395">
          <w:marLeft w:val="1166"/>
          <w:marRight w:val="0"/>
          <w:marTop w:val="120"/>
          <w:marBottom w:val="120"/>
          <w:divBdr>
            <w:top w:val="none" w:sz="0" w:space="0" w:color="auto"/>
            <w:left w:val="none" w:sz="0" w:space="0" w:color="auto"/>
            <w:bottom w:val="none" w:sz="0" w:space="0" w:color="auto"/>
            <w:right w:val="none" w:sz="0" w:space="0" w:color="auto"/>
          </w:divBdr>
        </w:div>
        <w:div w:id="511841600">
          <w:marLeft w:val="547"/>
          <w:marRight w:val="0"/>
          <w:marTop w:val="120"/>
          <w:marBottom w:val="120"/>
          <w:divBdr>
            <w:top w:val="none" w:sz="0" w:space="0" w:color="auto"/>
            <w:left w:val="none" w:sz="0" w:space="0" w:color="auto"/>
            <w:bottom w:val="none" w:sz="0" w:space="0" w:color="auto"/>
            <w:right w:val="none" w:sz="0" w:space="0" w:color="auto"/>
          </w:divBdr>
        </w:div>
        <w:div w:id="1960139693">
          <w:marLeft w:val="1166"/>
          <w:marRight w:val="0"/>
          <w:marTop w:val="120"/>
          <w:marBottom w:val="120"/>
          <w:divBdr>
            <w:top w:val="none" w:sz="0" w:space="0" w:color="auto"/>
            <w:left w:val="none" w:sz="0" w:space="0" w:color="auto"/>
            <w:bottom w:val="none" w:sz="0" w:space="0" w:color="auto"/>
            <w:right w:val="none" w:sz="0" w:space="0" w:color="auto"/>
          </w:divBdr>
        </w:div>
        <w:div w:id="900597780">
          <w:marLeft w:val="547"/>
          <w:marRight w:val="0"/>
          <w:marTop w:val="120"/>
          <w:marBottom w:val="120"/>
          <w:divBdr>
            <w:top w:val="none" w:sz="0" w:space="0" w:color="auto"/>
            <w:left w:val="none" w:sz="0" w:space="0" w:color="auto"/>
            <w:bottom w:val="none" w:sz="0" w:space="0" w:color="auto"/>
            <w:right w:val="none" w:sz="0" w:space="0" w:color="auto"/>
          </w:divBdr>
        </w:div>
      </w:divsChild>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110809202">
      <w:bodyDiv w:val="1"/>
      <w:marLeft w:val="0"/>
      <w:marRight w:val="0"/>
      <w:marTop w:val="0"/>
      <w:marBottom w:val="0"/>
      <w:divBdr>
        <w:top w:val="none" w:sz="0" w:space="0" w:color="auto"/>
        <w:left w:val="none" w:sz="0" w:space="0" w:color="auto"/>
        <w:bottom w:val="none" w:sz="0" w:space="0" w:color="auto"/>
        <w:right w:val="none" w:sz="0" w:space="0" w:color="auto"/>
      </w:divBdr>
      <w:divsChild>
        <w:div w:id="2082635585">
          <w:marLeft w:val="547"/>
          <w:marRight w:val="0"/>
          <w:marTop w:val="120"/>
          <w:marBottom w:val="120"/>
          <w:divBdr>
            <w:top w:val="none" w:sz="0" w:space="0" w:color="auto"/>
            <w:left w:val="none" w:sz="0" w:space="0" w:color="auto"/>
            <w:bottom w:val="none" w:sz="0" w:space="0" w:color="auto"/>
            <w:right w:val="none" w:sz="0" w:space="0" w:color="auto"/>
          </w:divBdr>
        </w:div>
        <w:div w:id="1706053859">
          <w:marLeft w:val="1166"/>
          <w:marRight w:val="0"/>
          <w:marTop w:val="120"/>
          <w:marBottom w:val="120"/>
          <w:divBdr>
            <w:top w:val="none" w:sz="0" w:space="0" w:color="auto"/>
            <w:left w:val="none" w:sz="0" w:space="0" w:color="auto"/>
            <w:bottom w:val="none" w:sz="0" w:space="0" w:color="auto"/>
            <w:right w:val="none" w:sz="0" w:space="0" w:color="auto"/>
          </w:divBdr>
        </w:div>
        <w:div w:id="1928271481">
          <w:marLeft w:val="1166"/>
          <w:marRight w:val="0"/>
          <w:marTop w:val="120"/>
          <w:marBottom w:val="120"/>
          <w:divBdr>
            <w:top w:val="none" w:sz="0" w:space="0" w:color="auto"/>
            <w:left w:val="none" w:sz="0" w:space="0" w:color="auto"/>
            <w:bottom w:val="none" w:sz="0" w:space="0" w:color="auto"/>
            <w:right w:val="none" w:sz="0" w:space="0" w:color="auto"/>
          </w:divBdr>
        </w:div>
        <w:div w:id="752356535">
          <w:marLeft w:val="1166"/>
          <w:marRight w:val="0"/>
          <w:marTop w:val="120"/>
          <w:marBottom w:val="120"/>
          <w:divBdr>
            <w:top w:val="none" w:sz="0" w:space="0" w:color="auto"/>
            <w:left w:val="none" w:sz="0" w:space="0" w:color="auto"/>
            <w:bottom w:val="none" w:sz="0" w:space="0" w:color="auto"/>
            <w:right w:val="none" w:sz="0" w:space="0" w:color="auto"/>
          </w:divBdr>
        </w:div>
        <w:div w:id="38321273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90B29A-725D-4E51-8F71-E96D7E09CDBE}">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2.xml><?xml version="1.0" encoding="utf-8"?>
<ds:datastoreItem xmlns:ds="http://schemas.openxmlformats.org/officeDocument/2006/customXml" ds:itemID="{C68D8EA9-EE64-4E6B-A2E6-55EAA83686B1}"/>
</file>

<file path=customXml/itemProps3.xml><?xml version="1.0" encoding="utf-8"?>
<ds:datastoreItem xmlns:ds="http://schemas.openxmlformats.org/officeDocument/2006/customXml" ds:itemID="{E32DFE97-708B-4CB8-8836-D98BDCEB165E}">
  <ds:schemaRefs>
    <ds:schemaRef ds:uri="http://schemas.microsoft.com/sharepoint/v3/contenttype/forms"/>
  </ds:schemaRefs>
</ds:datastoreItem>
</file>

<file path=customXml/itemProps4.xml><?xml version="1.0" encoding="utf-8"?>
<ds:datastoreItem xmlns:ds="http://schemas.openxmlformats.org/officeDocument/2006/customXml" ds:itemID="{7CE24543-80EE-4138-897B-599439F5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8</cp:revision>
  <dcterms:created xsi:type="dcterms:W3CDTF">2017-02-10T20:28:00Z</dcterms:created>
  <dcterms:modified xsi:type="dcterms:W3CDTF">2019-11-19T20:03:00Z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