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1EA1" w14:textId="5E973B7D" w:rsidR="005A7024" w:rsidRPr="001436AB" w:rsidRDefault="001436AB" w:rsidP="005A7024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color w:val="2A2A2A"/>
          <w:lang w:val="sr-Latn-RS"/>
        </w:rPr>
      </w:pPr>
      <w:r w:rsidRPr="001436AB">
        <w:rPr>
          <w:b/>
          <w:color w:val="000000"/>
          <w:u w:val="single"/>
          <w:lang w:val="sr-Latn-RS"/>
        </w:rPr>
        <w:t xml:space="preserve">Obaveze </w:t>
      </w:r>
      <w:r w:rsidR="000A1EF2">
        <w:rPr>
          <w:b/>
          <w:color w:val="000000"/>
          <w:u w:val="single"/>
          <w:lang w:val="sr-Latn-RS"/>
        </w:rPr>
        <w:t xml:space="preserve">za </w:t>
      </w:r>
      <w:r w:rsidR="00A01BE8" w:rsidRPr="001436AB">
        <w:rPr>
          <w:b/>
          <w:color w:val="000000"/>
          <w:u w:val="single"/>
          <w:lang w:val="sr-Latn-RS"/>
        </w:rPr>
        <w:t>hemijsk</w:t>
      </w:r>
      <w:r w:rsidR="000A1EF2">
        <w:rPr>
          <w:b/>
          <w:color w:val="000000"/>
          <w:u w:val="single"/>
          <w:lang w:val="sr-Latn-RS"/>
        </w:rPr>
        <w:t>u</w:t>
      </w:r>
      <w:r w:rsidR="00A01BE8" w:rsidRPr="001436AB">
        <w:rPr>
          <w:b/>
          <w:color w:val="000000"/>
          <w:u w:val="single"/>
          <w:lang w:val="sr-Latn-RS"/>
        </w:rPr>
        <w:t xml:space="preserve"> i </w:t>
      </w:r>
      <w:r w:rsidR="000A1EF2">
        <w:rPr>
          <w:b/>
          <w:color w:val="000000"/>
          <w:u w:val="single"/>
          <w:lang w:val="sr-Latn-RS"/>
        </w:rPr>
        <w:t xml:space="preserve">srodne </w:t>
      </w:r>
      <w:r w:rsidR="00A01BE8" w:rsidRPr="001436AB">
        <w:rPr>
          <w:b/>
          <w:color w:val="000000"/>
          <w:u w:val="single"/>
          <w:lang w:val="sr-Latn-RS"/>
        </w:rPr>
        <w:t>industrij</w:t>
      </w:r>
      <w:r w:rsidR="000A1EF2">
        <w:rPr>
          <w:b/>
          <w:color w:val="000000"/>
          <w:u w:val="single"/>
          <w:lang w:val="sr-Latn-RS"/>
        </w:rPr>
        <w:t>e</w:t>
      </w:r>
      <w:r w:rsidR="00A01BE8" w:rsidRPr="001436AB">
        <w:rPr>
          <w:b/>
          <w:color w:val="000000"/>
          <w:u w:val="single"/>
          <w:lang w:val="sr-Latn-RS"/>
        </w:rPr>
        <w:t xml:space="preserve"> </w:t>
      </w:r>
      <w:r w:rsidR="000A1EF2">
        <w:rPr>
          <w:b/>
          <w:color w:val="000000"/>
          <w:u w:val="single"/>
          <w:lang w:val="sr-Latn-RS"/>
        </w:rPr>
        <w:t>u skladu sa</w:t>
      </w:r>
      <w:r w:rsidRPr="001436AB">
        <w:rPr>
          <w:b/>
          <w:color w:val="000000"/>
          <w:u w:val="single"/>
          <w:lang w:val="sr-Latn-RS"/>
        </w:rPr>
        <w:t xml:space="preserve"> Konvencij</w:t>
      </w:r>
      <w:r w:rsidR="000A1EF2">
        <w:rPr>
          <w:b/>
          <w:color w:val="000000"/>
          <w:u w:val="single"/>
          <w:lang w:val="sr-Latn-RS"/>
        </w:rPr>
        <w:t>om</w:t>
      </w:r>
      <w:r w:rsidRPr="001436AB">
        <w:rPr>
          <w:b/>
          <w:color w:val="000000"/>
          <w:u w:val="single"/>
          <w:lang w:val="sr-Latn-RS"/>
        </w:rPr>
        <w:t xml:space="preserve"> o hemijskom oružju</w:t>
      </w:r>
      <w:r w:rsidR="005A7024" w:rsidRPr="001436AB">
        <w:rPr>
          <w:rStyle w:val="EndnoteReference"/>
          <w:color w:val="000000"/>
          <w:lang w:val="sr-Latn-RS"/>
        </w:rPr>
        <w:endnoteReference w:id="1"/>
      </w:r>
    </w:p>
    <w:p w14:paraId="4A7E1EA2" w14:textId="77777777" w:rsidR="005A7024" w:rsidRPr="001436AB" w:rsidRDefault="005A7024" w:rsidP="005A7024">
      <w:pPr>
        <w:pStyle w:val="bodytext"/>
        <w:shd w:val="clear" w:color="auto" w:fill="FFFFFF"/>
        <w:spacing w:before="0" w:beforeAutospacing="0" w:after="0" w:afterAutospacing="0"/>
        <w:jc w:val="center"/>
        <w:rPr>
          <w:color w:val="2A2A2A"/>
          <w:u w:val="single"/>
          <w:lang w:val="sr-Latn-RS"/>
        </w:rPr>
      </w:pPr>
    </w:p>
    <w:p w14:paraId="4A7E1EA3" w14:textId="6BAD04D4" w:rsidR="005A7024" w:rsidRPr="001436AB" w:rsidRDefault="00A13CD3" w:rsidP="005A7024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2A2A2A"/>
          <w:sz w:val="22"/>
          <w:szCs w:val="22"/>
          <w:lang w:val="sr-Latn-RS"/>
        </w:rPr>
      </w:pPr>
      <w:r>
        <w:rPr>
          <w:b/>
          <w:color w:val="2A2A2A"/>
          <w:sz w:val="22"/>
          <w:szCs w:val="22"/>
          <w:lang w:val="sr-Latn-RS"/>
        </w:rPr>
        <w:t xml:space="preserve">Tabela </w:t>
      </w:r>
      <w:r w:rsidR="001436AB">
        <w:rPr>
          <w:b/>
          <w:color w:val="2A2A2A"/>
          <w:sz w:val="22"/>
          <w:szCs w:val="22"/>
          <w:lang w:val="sr-Latn-RS"/>
        </w:rPr>
        <w:t>u nastav</w:t>
      </w:r>
      <w:r w:rsidR="00AE0B36">
        <w:rPr>
          <w:b/>
          <w:color w:val="2A2A2A"/>
          <w:sz w:val="22"/>
          <w:szCs w:val="22"/>
          <w:lang w:val="sr-Latn-RS"/>
        </w:rPr>
        <w:t>k</w:t>
      </w:r>
      <w:r w:rsidR="001436AB">
        <w:rPr>
          <w:b/>
          <w:color w:val="2A2A2A"/>
          <w:sz w:val="22"/>
          <w:szCs w:val="22"/>
          <w:lang w:val="sr-Latn-RS"/>
        </w:rPr>
        <w:t xml:space="preserve">u nudi pregled obaveza koje proizilaze iz Konvencije o hemijskom oružju i </w:t>
      </w:r>
      <w:r w:rsidR="000A1EF2">
        <w:rPr>
          <w:b/>
          <w:color w:val="2A2A2A"/>
          <w:sz w:val="22"/>
          <w:szCs w:val="22"/>
          <w:lang w:val="sr-Latn-RS"/>
        </w:rPr>
        <w:t xml:space="preserve">daje </w:t>
      </w:r>
      <w:r w:rsidR="001436AB">
        <w:rPr>
          <w:b/>
          <w:color w:val="2A2A2A"/>
          <w:sz w:val="22"/>
          <w:szCs w:val="22"/>
          <w:lang w:val="sr-Latn-RS"/>
        </w:rPr>
        <w:t xml:space="preserve">sumarni prikaz ograničenja koja se odnose na određene hemikalije </w:t>
      </w:r>
      <w:r w:rsidR="005A7024" w:rsidRPr="001436AB">
        <w:rPr>
          <w:b/>
          <w:color w:val="2A2A2A"/>
          <w:sz w:val="22"/>
          <w:szCs w:val="22"/>
          <w:lang w:val="sr-Latn-RS"/>
        </w:rPr>
        <w:t xml:space="preserve"> </w:t>
      </w:r>
    </w:p>
    <w:p w14:paraId="4A7E1EA4" w14:textId="77777777" w:rsidR="005A7024" w:rsidRPr="001436AB" w:rsidRDefault="005A7024" w:rsidP="005A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</w:p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2430"/>
        <w:gridCol w:w="2610"/>
      </w:tblGrid>
      <w:tr w:rsidR="005A7024" w:rsidRPr="001436AB" w14:paraId="4A7E1EAE" w14:textId="77777777" w:rsidTr="00EE70AA">
        <w:tc>
          <w:tcPr>
            <w:tcW w:w="2250" w:type="dxa"/>
            <w:shd w:val="clear" w:color="auto" w:fill="000000" w:themeFill="text1"/>
            <w:vAlign w:val="center"/>
          </w:tcPr>
          <w:p w14:paraId="4A7E1EA5" w14:textId="77777777" w:rsidR="005A7024" w:rsidRPr="001436AB" w:rsidRDefault="005A7024" w:rsidP="00EE70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sr-Latn-RS"/>
              </w:rPr>
            </w:pPr>
          </w:p>
        </w:tc>
        <w:tc>
          <w:tcPr>
            <w:tcW w:w="2160" w:type="dxa"/>
            <w:shd w:val="clear" w:color="auto" w:fill="4472C4" w:themeFill="accent1"/>
            <w:vAlign w:val="center"/>
          </w:tcPr>
          <w:p w14:paraId="4A7E1EA6" w14:textId="04609224" w:rsidR="005A7024" w:rsidRPr="001436AB" w:rsidRDefault="001436AB" w:rsidP="00EE70A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>Lista</w:t>
            </w:r>
            <w:r w:rsidR="005A7024" w:rsidRPr="001436A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 xml:space="preserve"> 1</w:t>
            </w:r>
          </w:p>
          <w:p w14:paraId="4A7E1EA7" w14:textId="77777777" w:rsidR="005A7024" w:rsidRPr="001436AB" w:rsidRDefault="005A7024" w:rsidP="00EE70A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</w:p>
        </w:tc>
        <w:tc>
          <w:tcPr>
            <w:tcW w:w="2160" w:type="dxa"/>
            <w:shd w:val="clear" w:color="auto" w:fill="4472C4" w:themeFill="accent1"/>
            <w:vAlign w:val="center"/>
          </w:tcPr>
          <w:p w14:paraId="4A7E1EA8" w14:textId="27DDD81F" w:rsidR="005A7024" w:rsidRPr="001436AB" w:rsidRDefault="001436AB" w:rsidP="00EE70A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>Lista 2</w:t>
            </w:r>
          </w:p>
          <w:p w14:paraId="4A7E1EA9" w14:textId="77777777" w:rsidR="005A7024" w:rsidRPr="001436AB" w:rsidRDefault="005A7024" w:rsidP="00EE70A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</w:p>
        </w:tc>
        <w:tc>
          <w:tcPr>
            <w:tcW w:w="2430" w:type="dxa"/>
            <w:shd w:val="clear" w:color="auto" w:fill="4472C4" w:themeFill="accent1"/>
            <w:vAlign w:val="center"/>
          </w:tcPr>
          <w:p w14:paraId="4A7E1EAA" w14:textId="60747FFC" w:rsidR="005A7024" w:rsidRPr="001436AB" w:rsidRDefault="001436AB" w:rsidP="00EE70A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>Lista 3</w:t>
            </w:r>
          </w:p>
          <w:p w14:paraId="4A7E1EAB" w14:textId="77777777" w:rsidR="005A7024" w:rsidRPr="001436AB" w:rsidRDefault="005A7024" w:rsidP="00EE70A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</w:p>
        </w:tc>
        <w:tc>
          <w:tcPr>
            <w:tcW w:w="2610" w:type="dxa"/>
            <w:shd w:val="clear" w:color="auto" w:fill="4472C4" w:themeFill="accent1"/>
            <w:vAlign w:val="center"/>
          </w:tcPr>
          <w:p w14:paraId="4A7E1EAC" w14:textId="4C56F1EF" w:rsidR="005A7024" w:rsidRPr="001436AB" w:rsidRDefault="001436AB" w:rsidP="00EE70A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>Diskretne organske supstance (DOC</w:t>
            </w:r>
            <w:r w:rsidR="005A7024" w:rsidRPr="001436A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u w:val="single"/>
                <w:lang w:val="sr-Latn-RS"/>
              </w:rPr>
              <w:t>)</w:t>
            </w:r>
          </w:p>
          <w:p w14:paraId="4A7E1EAD" w14:textId="77777777" w:rsidR="005A7024" w:rsidRPr="001436AB" w:rsidRDefault="005A7024" w:rsidP="00EE70A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u w:val="single"/>
                <w:lang w:val="sr-Latn-RS"/>
              </w:rPr>
            </w:pPr>
          </w:p>
        </w:tc>
      </w:tr>
      <w:tr w:rsidR="005A7024" w:rsidRPr="001436AB" w14:paraId="4A7E1EB4" w14:textId="77777777" w:rsidTr="00EE70AA">
        <w:tc>
          <w:tcPr>
            <w:tcW w:w="2250" w:type="dxa"/>
            <w:shd w:val="clear" w:color="auto" w:fill="E7E6E6" w:themeFill="background2"/>
            <w:vAlign w:val="center"/>
          </w:tcPr>
          <w:p w14:paraId="4A7E1EAF" w14:textId="097AFCD4" w:rsidR="005A7024" w:rsidRPr="001436AB" w:rsidRDefault="001436AB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Hemikalije/postrojenja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B0" w14:textId="04EC3FA9" w:rsidR="005A7024" w:rsidRPr="001436AB" w:rsidRDefault="007F792F" w:rsidP="00A1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Hemijski agensi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; ključni prekursori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završnoj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faz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i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izrade hemijskog oružja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B1" w14:textId="3790272A" w:rsidR="005A7024" w:rsidRPr="001436AB" w:rsidRDefault="001436AB" w:rsidP="007F792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Potencijalni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hemijski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agensi; drugi ključni prekursori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hemijsko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oružj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; određene hemikalije dvostruke namene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A7E1EB2" w14:textId="367E7387" w:rsidR="005A7024" w:rsidRPr="001436AB" w:rsidRDefault="007F792F" w:rsidP="00A0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Stari hemijski agensi</w:t>
            </w:r>
            <w:r w:rsidR="005A7024" w:rsidRPr="001436AB">
              <w:rPr>
                <w:rStyle w:val="EndnoteReference"/>
                <w:rFonts w:ascii="Times New Roman" w:hAnsi="Times New Roman" w:cs="Times New Roman"/>
                <w:sz w:val="18"/>
                <w:szCs w:val="18"/>
                <w:lang w:val="sr-Latn-RS"/>
              </w:rPr>
              <w:endnoteReference w:id="2"/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;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ostali prekursori hemijskog oružja; određene hemikalije dvostruke namene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4A7E1EB3" w14:textId="782634C2" w:rsidR="005A7024" w:rsidRPr="001436AB" w:rsidRDefault="001436AB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Postrojenja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koja proizvode neklasifikovane diskretne organske supstance (DOC), diskretne organske supstance koje sadrže fosfor, sumpor ili fluor (PSF hemikalije)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A7024" w:rsidRPr="001436AB" w14:paraId="4A7E1EBA" w14:textId="77777777" w:rsidTr="00EE70AA">
        <w:trPr>
          <w:trHeight w:val="557"/>
        </w:trPr>
        <w:tc>
          <w:tcPr>
            <w:tcW w:w="2250" w:type="dxa"/>
            <w:shd w:val="clear" w:color="auto" w:fill="FFFFFF" w:themeFill="background1"/>
            <w:vAlign w:val="center"/>
          </w:tcPr>
          <w:p w14:paraId="4A7E1EB5" w14:textId="056A6F45" w:rsidR="005A7024" w:rsidRPr="001436AB" w:rsidRDefault="001436AB" w:rsidP="00EE70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Komercijalna namena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B6" w14:textId="67A28528" w:rsidR="005A7024" w:rsidRPr="001436AB" w:rsidRDefault="00A01BE8" w:rsidP="00EE70AA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Nema je ili je vrlo ograničena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B7" w14:textId="78FBE3EF" w:rsidR="005A7024" w:rsidRPr="001436AB" w:rsidRDefault="001436AB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Mala do umerena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7E1EB8" w14:textId="06FA5BBB" w:rsidR="005A7024" w:rsidRPr="001436AB" w:rsidRDefault="001436AB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Rasprostranjena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7E1EB9" w14:textId="19EF950F" w:rsidR="005A7024" w:rsidRPr="001436AB" w:rsidRDefault="001436AB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Rasprostr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njena</w:t>
            </w:r>
          </w:p>
        </w:tc>
      </w:tr>
      <w:tr w:rsidR="005A7024" w:rsidRPr="001436AB" w14:paraId="4A7E1EC1" w14:textId="77777777" w:rsidTr="00EE70AA">
        <w:trPr>
          <w:trHeight w:val="1097"/>
        </w:trPr>
        <w:tc>
          <w:tcPr>
            <w:tcW w:w="2250" w:type="dxa"/>
            <w:shd w:val="clear" w:color="auto" w:fill="E7E6E6" w:themeFill="background2"/>
            <w:vAlign w:val="center"/>
          </w:tcPr>
          <w:p w14:paraId="4A7E1EBB" w14:textId="7F1949D8" w:rsidR="001436AB" w:rsidRPr="001436AB" w:rsidRDefault="001436AB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Godišnji prag aktivnosti </w:t>
            </w:r>
            <w:r w:rsidR="00A13C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koji podleže obavezi </w:t>
            </w:r>
            <w:r w:rsidR="000A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prijavljivanja (deklarisanja)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  <w:p w14:paraId="4A7E1EBC" w14:textId="0DC500F8" w:rsidR="005A7024" w:rsidRPr="001436AB" w:rsidRDefault="005A7024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BD" w14:textId="251F4B1D" w:rsidR="005A7024" w:rsidRPr="001436AB" w:rsidRDefault="005A7024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&gt;100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g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ukupno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(&lt;10kg)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ukupna proizvodnja svih hemikalija sa Liste 1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BE" w14:textId="0F6B5EC4" w:rsidR="005A7024" w:rsidRPr="001436AB" w:rsidRDefault="001436AB" w:rsidP="00A1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Proizvodnja, upotreba ili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prerada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&gt; 1 kg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BZ; 100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kg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 druge hemikalije iz grupe A; 1 tona za hemikaije iz grupe B</w:t>
            </w:r>
            <w:r w:rsidR="005A7024" w:rsidRPr="001436AB">
              <w:rPr>
                <w:rStyle w:val="EndnoteReference"/>
                <w:rFonts w:ascii="Times New Roman" w:hAnsi="Times New Roman" w:cs="Times New Roman"/>
                <w:sz w:val="18"/>
                <w:szCs w:val="18"/>
                <w:lang w:val="sr-Latn-RS"/>
              </w:rPr>
              <w:endnoteReference w:id="3"/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A7E1EBF" w14:textId="20F75E25" w:rsidR="005A7024" w:rsidRPr="001436AB" w:rsidRDefault="001436AB" w:rsidP="00143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Proizvodnja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&gt; 30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metričkih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tona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4A7E1EC0" w14:textId="14248EA2" w:rsidR="005A7024" w:rsidRPr="001436AB" w:rsidRDefault="001436AB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Proizvodnja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&gt; 200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metričkih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 ukupno za diskretne organske supstance. Proizvodnja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&gt; 30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metričkih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 za pojedinačne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PSF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hemikalije</w:t>
            </w:r>
          </w:p>
        </w:tc>
      </w:tr>
      <w:tr w:rsidR="005A7024" w:rsidRPr="001436AB" w14:paraId="4A7E1EC8" w14:textId="77777777" w:rsidTr="00EE70AA">
        <w:trPr>
          <w:trHeight w:val="953"/>
        </w:trPr>
        <w:tc>
          <w:tcPr>
            <w:tcW w:w="2250" w:type="dxa"/>
            <w:shd w:val="clear" w:color="auto" w:fill="FFFFFF" w:themeFill="background1"/>
            <w:vAlign w:val="center"/>
          </w:tcPr>
          <w:p w14:paraId="4A7E1EC3" w14:textId="02F1817B" w:rsidR="005A7024" w:rsidRPr="001436AB" w:rsidRDefault="001436AB" w:rsidP="00A1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Godišnji prag aktivnosti </w:t>
            </w:r>
            <w:r w:rsidR="00A13C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koji podleže obavezi izveštavanja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po postrojenju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C4" w14:textId="3BC50E80" w:rsidR="005A7024" w:rsidRPr="001436AB" w:rsidRDefault="00A01BE8" w:rsidP="00EE7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Bilo koja količina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C5" w14:textId="32E980EC" w:rsidR="005A7024" w:rsidRPr="001436AB" w:rsidRDefault="005A7024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1 kg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BZ; </w:t>
            </w:r>
            <w:r w:rsidR="001436AB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100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1436AB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kg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za druge hemikalije iz grupe A; 1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metrička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tona za hemika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l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ije iz grupe B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7E1EC6" w14:textId="2076E50C" w:rsidR="005A7024" w:rsidRPr="001436AB" w:rsidRDefault="005A7024" w:rsidP="00A01B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30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metričkih 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7E1EC7" w14:textId="2FAC4498" w:rsidR="005A7024" w:rsidRPr="001436AB" w:rsidRDefault="001436AB" w:rsidP="00A01B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Nema </w:t>
            </w:r>
          </w:p>
        </w:tc>
      </w:tr>
      <w:tr w:rsidR="005A7024" w:rsidRPr="001436AB" w14:paraId="4A7E1ECF" w14:textId="77777777" w:rsidTr="00EE70AA">
        <w:tc>
          <w:tcPr>
            <w:tcW w:w="2250" w:type="dxa"/>
            <w:shd w:val="clear" w:color="auto" w:fill="E7E6E6" w:themeFill="background2"/>
            <w:vAlign w:val="center"/>
          </w:tcPr>
          <w:p w14:paraId="4A7E1EC9" w14:textId="1800F783" w:rsidR="005A7024" w:rsidRPr="001436AB" w:rsidRDefault="001436AB" w:rsidP="000A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Aktivnosti koje se na godišnjem nivou prijavljuju i/ili </w:t>
            </w:r>
            <w:r w:rsidR="000A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o kojima se izveštava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CA" w14:textId="6F6B8126" w:rsidR="005A7024" w:rsidRPr="001436AB" w:rsidRDefault="00A01BE8" w:rsidP="00A0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Podaci o proizvodnji, izvozu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i uvozu za prethodnu kalendarsku godinu; proizvodnja predviđena za narednu kalendarsku godinu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CB" w14:textId="642B3FC6" w:rsidR="005A7024" w:rsidRPr="001436AB" w:rsidRDefault="001436AB" w:rsidP="00A0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Podaci o proizvodnji,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preradi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, potrošnji, uvozu i izvozu za prethodnu kalendarsku godi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nu; predviđena proizvodnja, pre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rada i potrošnj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 za narednu kalendarsku godinu.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A7E1ECC" w14:textId="4C541AA7" w:rsidR="005A7024" w:rsidRPr="001436AB" w:rsidRDefault="001436AB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Podaci o proizvodnji, izvozu i uvozu za prethodnu kalendarsku godinu; proizvodnja predviđena za narednu kalendarsku godinu</w:t>
            </w:r>
          </w:p>
          <w:p w14:paraId="4A7E1ECD" w14:textId="77777777" w:rsidR="005A7024" w:rsidRPr="001436AB" w:rsidRDefault="005A7024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4A7E1ECE" w14:textId="49C53056" w:rsidR="005A7024" w:rsidRPr="001436AB" w:rsidRDefault="007F792F" w:rsidP="0014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Sint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eza podataka o proizvodnji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 prethodnu kalendarsku godinu</w:t>
            </w:r>
            <w:r w:rsid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A7024" w:rsidRPr="001436AB" w14:paraId="4A7E1ED6" w14:textId="77777777" w:rsidTr="00EE70AA">
        <w:tc>
          <w:tcPr>
            <w:tcW w:w="2250" w:type="dxa"/>
            <w:shd w:val="clear" w:color="auto" w:fill="FFFFFF" w:themeFill="background1"/>
            <w:vAlign w:val="center"/>
          </w:tcPr>
          <w:p w14:paraId="4A7E1ED0" w14:textId="1C46C921" w:rsidR="005A7024" w:rsidRPr="001436AB" w:rsidRDefault="008957C4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Rok za podnošenje godišnjih izveštaja i </w:t>
            </w:r>
            <w:r w:rsidR="00A13C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deklaracija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  <w:p w14:paraId="4A7E1ED1" w14:textId="77777777" w:rsidR="005A7024" w:rsidRPr="001436AB" w:rsidRDefault="005A7024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  <w:p w14:paraId="4A7E1ED2" w14:textId="71689559" w:rsidR="005A7024" w:rsidRPr="001436AB" w:rsidRDefault="005A7024" w:rsidP="00A1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- </w:t>
            </w:r>
            <w:r w:rsidR="008957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predviđene aktivnosti</w:t>
            </w:r>
            <w:r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(</w:t>
            </w:r>
            <w:r w:rsidR="008957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samo </w:t>
            </w:r>
            <w:r w:rsidR="00A13C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deklaracije</w:t>
            </w:r>
            <w:r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D3" w14:textId="2E880842" w:rsidR="005A7024" w:rsidRPr="001436AB" w:rsidRDefault="005A7024" w:rsidP="007F7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. septembar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 kalendarskoj godini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koja prethod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i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kalendarsk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oj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godin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i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u kojoj 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se 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predviđene aktivnosti</w:t>
            </w:r>
            <w:r w:rsidR="007F792F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realizuju.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4A7E1ED4" w14:textId="519D451B" w:rsidR="005A7024" w:rsidRPr="001436AB" w:rsidRDefault="005A7024" w:rsidP="00A01B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. septembar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kalendarske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godine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koja prethodi kalendarskoj godini 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u kojoj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je planirana realizacija predviđenih aktivnosti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7E1ED5" w14:textId="2BE4A12B" w:rsidR="005A7024" w:rsidRPr="001436AB" w:rsidRDefault="008957C4" w:rsidP="00A01BE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Nije primenjivo </w:t>
            </w:r>
          </w:p>
        </w:tc>
      </w:tr>
      <w:tr w:rsidR="005A7024" w:rsidRPr="001436AB" w14:paraId="4A7E1EDA" w14:textId="77777777" w:rsidTr="00EE70AA">
        <w:tc>
          <w:tcPr>
            <w:tcW w:w="2250" w:type="dxa"/>
            <w:shd w:val="clear" w:color="auto" w:fill="E7E6E6" w:themeFill="background2"/>
            <w:vAlign w:val="center"/>
          </w:tcPr>
          <w:p w14:paraId="4A7E1ED7" w14:textId="38204210" w:rsidR="005A7024" w:rsidRPr="001436AB" w:rsidRDefault="00A13CD3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Prethodne</w:t>
            </w:r>
            <w:r w:rsidR="008957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aktivnosti</w:t>
            </w:r>
          </w:p>
        </w:tc>
        <w:tc>
          <w:tcPr>
            <w:tcW w:w="9360" w:type="dxa"/>
            <w:gridSpan w:val="4"/>
            <w:shd w:val="clear" w:color="auto" w:fill="E7E6E6" w:themeFill="background2"/>
          </w:tcPr>
          <w:p w14:paraId="4A7E1ED8" w14:textId="16DE4908" w:rsidR="005A7024" w:rsidRPr="001436AB" w:rsidRDefault="005A7024" w:rsidP="00EE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28</w:t>
            </w:r>
            <w:r w:rsidR="008957C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. febru</w:t>
            </w:r>
            <w:r w:rsidR="007F792F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ar</w:t>
            </w:r>
            <w:r w:rsidR="008957C4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 naredne kalendarske godine </w:t>
            </w:r>
            <w:r w:rsidRPr="001436AB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</w:p>
          <w:p w14:paraId="4A7E1ED9" w14:textId="77777777" w:rsidR="005A7024" w:rsidRPr="001436AB" w:rsidRDefault="005A7024" w:rsidP="00EE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5A7024" w:rsidRPr="001436AB" w14:paraId="4A7E1EE0" w14:textId="77777777" w:rsidTr="00EE70AA">
        <w:tc>
          <w:tcPr>
            <w:tcW w:w="2250" w:type="dxa"/>
            <w:shd w:val="clear" w:color="auto" w:fill="FFFFFF" w:themeFill="background1"/>
            <w:vAlign w:val="center"/>
          </w:tcPr>
          <w:p w14:paraId="4A7E1EDB" w14:textId="0177EF46" w:rsidR="005A7024" w:rsidRPr="001436AB" w:rsidRDefault="008957C4" w:rsidP="000A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lastRenderedPageBreak/>
              <w:t>Prag aktivnosti za inspekcijsk</w:t>
            </w:r>
            <w:r w:rsidR="000A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 nadzor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DC" w14:textId="3E9FA429" w:rsidR="005A7024" w:rsidRPr="001436AB" w:rsidRDefault="005A7024" w:rsidP="0089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&gt;100 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grama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(&lt;1 kg) 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ukupne proizvo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dnje svih hemikalija sa Liste 1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DD" w14:textId="4C047AB5" w:rsidR="005A7024" w:rsidRPr="001436AB" w:rsidRDefault="008957C4" w:rsidP="00CC54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Proizvodnja, potrošnja ili prerada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&gt; 10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kg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za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BZ; 1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metrička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 za ostale hemikalije sa Liste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2A; 10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metričkih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 za hemikalije sa Liste 2B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7E1EDE" w14:textId="03C7AD4F" w:rsidR="005A7024" w:rsidRPr="001436AB" w:rsidRDefault="008957C4" w:rsidP="0089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Proizvodnja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&gt; 200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metričkih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tona.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7E1EDF" w14:textId="20BD4162" w:rsidR="005A7024" w:rsidRPr="001436AB" w:rsidRDefault="008957C4" w:rsidP="008957C4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Proizvodnja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&gt; 200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metričkih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tona ukupno za diskretne organske supstance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, uključ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ujući i PSF hemikalije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A7024" w:rsidRPr="001436AB" w14:paraId="4A7E1EE5" w14:textId="77777777" w:rsidTr="00EE70AA">
        <w:tc>
          <w:tcPr>
            <w:tcW w:w="2250" w:type="dxa"/>
            <w:shd w:val="clear" w:color="auto" w:fill="E7E6E6" w:themeFill="background2"/>
            <w:vAlign w:val="center"/>
          </w:tcPr>
          <w:p w14:paraId="4A7E1EE1" w14:textId="225D9455" w:rsidR="005A7024" w:rsidRPr="001436AB" w:rsidRDefault="008957C4" w:rsidP="000A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Sporazum o sprovođenju </w:t>
            </w:r>
            <w:r w:rsidR="000A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rutinskog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inspekcijsk</w:t>
            </w:r>
            <w:r w:rsidR="000A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og nadzora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postrojenja </w:t>
            </w:r>
            <w:r w:rsidR="005A7024" w:rsidRPr="001436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E2" w14:textId="60CBD7A0" w:rsidR="005A7024" w:rsidRPr="001436AB" w:rsidRDefault="00A01BE8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Obavezan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E3" w14:textId="572F59F1" w:rsidR="005A7024" w:rsidRPr="001436AB" w:rsidRDefault="008957C4" w:rsidP="00895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Obavezan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osim ako samo postrojenje i Organizacija za zabranu hemijskog oružja ne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ugovore drugačije)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5040" w:type="dxa"/>
            <w:gridSpan w:val="2"/>
            <w:shd w:val="clear" w:color="auto" w:fill="E7E6E6" w:themeFill="background2"/>
            <w:vAlign w:val="center"/>
          </w:tcPr>
          <w:p w14:paraId="4A7E1EE4" w14:textId="6243BA45" w:rsidR="005A7024" w:rsidRPr="001436AB" w:rsidRDefault="008957C4" w:rsidP="00CC54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Nije 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obavezan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osim ako 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određeno postrojenje </w:t>
            </w:r>
            <w:r w:rsidR="00CC543E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to ne zahteva </w:t>
            </w:r>
          </w:p>
        </w:tc>
      </w:tr>
      <w:tr w:rsidR="005A7024" w:rsidRPr="001436AB" w14:paraId="4A7E1EEB" w14:textId="77777777" w:rsidTr="00EE70AA">
        <w:trPr>
          <w:trHeight w:val="944"/>
        </w:trPr>
        <w:tc>
          <w:tcPr>
            <w:tcW w:w="2250" w:type="dxa"/>
            <w:shd w:val="clear" w:color="auto" w:fill="FFFFFF" w:themeFill="background1"/>
            <w:vAlign w:val="center"/>
          </w:tcPr>
          <w:p w14:paraId="4A7E1EE6" w14:textId="60168C7C" w:rsidR="005A7024" w:rsidRPr="001436AB" w:rsidRDefault="008957C4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Maksimalan broj inspekcija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E7" w14:textId="19DE7694" w:rsidR="005A7024" w:rsidRPr="001436AB" w:rsidRDefault="008957C4" w:rsidP="0036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Broj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se utvrđuje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na osnovu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postojanja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rizika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po cilj i svrhu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Konvencije o hemijskom oružju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A7E1EE8" w14:textId="5409B47E" w:rsidR="005A7024" w:rsidRPr="001436AB" w:rsidRDefault="005A7024" w:rsidP="0036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puta godišnje po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postrojenju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7E1EE9" w14:textId="53A2ACF2" w:rsidR="005A7024" w:rsidRPr="001436AB" w:rsidRDefault="005A7024" w:rsidP="0036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puta godi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šn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j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e po postrojenju,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uz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ograničenje za kombinovani broj inspekcijskih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nadzora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postrojenja u kojima se proizv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ode hemikalije sa Liste 3 i DOC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A7E1EEA" w14:textId="79B133B3" w:rsidR="005A7024" w:rsidRPr="001436AB" w:rsidRDefault="005A7024" w:rsidP="00366D4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 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puta godišnje po postrojenju, plus ograničenje za kombinovani broj inspekcijskih 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nadzora</w:t>
            </w:r>
            <w:r w:rsidR="008957C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postrojenja u kojima se proizvode hemikalije sa Liste 3 i diskretne organske supstance </w:t>
            </w:r>
            <w:r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5A7024" w:rsidRPr="001436AB" w14:paraId="4A7E1EF1" w14:textId="77777777" w:rsidTr="00EE70AA">
        <w:tc>
          <w:tcPr>
            <w:tcW w:w="2250" w:type="dxa"/>
            <w:shd w:val="clear" w:color="auto" w:fill="E7E6E6" w:themeFill="background2"/>
            <w:vAlign w:val="center"/>
          </w:tcPr>
          <w:p w14:paraId="4A7E1EEC" w14:textId="64589443" w:rsidR="005A7024" w:rsidRPr="001436AB" w:rsidRDefault="008957C4" w:rsidP="00EE7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Ograničenja uvoza i izvoza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ED" w14:textId="4A55A5E8" w:rsidR="005A7024" w:rsidRPr="001436AB" w:rsidRDefault="008957C4" w:rsidP="00CC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Uvoz i izvoz dozvoljeni su samo iz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odnosno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samo </w:t>
            </w:r>
            <w:r w:rsidR="00CC543E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 zemlje potpisnice Konvencije; p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onovni transferi su zabranjeni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A7E1EEE" w14:textId="55E8042B" w:rsidR="005A7024" w:rsidRPr="001436AB" w:rsidRDefault="008957C4" w:rsidP="00A13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Uvoz i izvoz dozvoljeni su samo iz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odnosno 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samo u zemlje potpisnice Konvencije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osim robe široke potrošnje i smeš</w:t>
            </w:r>
            <w:r w:rsidR="00A13C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koje sadrže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&lt;10%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hemikalija sa Liste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2B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ili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&lt;1%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hemikalija sa Liste 2A)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A7E1EEF" w14:textId="6400D119" w:rsidR="005A7024" w:rsidRPr="001436AB" w:rsidRDefault="00292744" w:rsidP="0029274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Izvoz u države potpisnice Konvencije i d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ržave koje nisu potpisnice Konv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e</w:t>
            </w:r>
            <w:r w:rsidR="00366D4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cije koje dostave Potvrde o krajnjoj nameni (osim robe široke potrošnje i smeša koje sadrže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&lt; 30% </w:t>
            </w:r>
            <w:r w:rsidR="00A01BE8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hemikalija sa Liste 3)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="005A7024" w:rsidRPr="001436AB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4A7E1EF0" w14:textId="4F3D06A0" w:rsidR="005A7024" w:rsidRPr="001436AB" w:rsidRDefault="00A01BE8" w:rsidP="00EE70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Nema ograničenja</w:t>
            </w:r>
          </w:p>
        </w:tc>
      </w:tr>
    </w:tbl>
    <w:p w14:paraId="4A7E1EF2" w14:textId="77777777" w:rsidR="005A7024" w:rsidRPr="001436AB" w:rsidRDefault="005A7024" w:rsidP="005A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</w:p>
    <w:p w14:paraId="4A7E1EF3" w14:textId="439CE909" w:rsidR="005A7024" w:rsidRPr="001436AB" w:rsidRDefault="00292744" w:rsidP="005A7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Latn-RS"/>
        </w:rPr>
        <w:t xml:space="preserve">Dodatna ograničenja i obaveze koje proizilaze iz Konvencije o hemijskom oružju </w:t>
      </w:r>
    </w:p>
    <w:p w14:paraId="4A7E1EF4" w14:textId="77777777" w:rsidR="005A7024" w:rsidRPr="001436AB" w:rsidRDefault="005A7024" w:rsidP="005A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4A7E1EF5" w14:textId="0D01806E" w:rsidR="005A7024" w:rsidRPr="001436AB" w:rsidRDefault="00827282" w:rsidP="005A7024">
      <w:pPr>
        <w:pStyle w:val="bodytext"/>
        <w:shd w:val="clear" w:color="auto" w:fill="FFFFFF"/>
        <w:spacing w:before="0" w:beforeAutospacing="0" w:after="120" w:afterAutospacing="0"/>
        <w:jc w:val="both"/>
        <w:rPr>
          <w:color w:val="2A2A2A"/>
          <w:lang w:val="sr-Latn-RS"/>
        </w:rPr>
      </w:pPr>
      <w:hyperlink r:id="rId10" w:history="1">
        <w:r w:rsidR="00292744">
          <w:rPr>
            <w:rStyle w:val="Hyperlink"/>
            <w:b/>
            <w:bCs/>
            <w:lang w:val="sr-Latn-RS"/>
          </w:rPr>
          <w:t>Lista</w:t>
        </w:r>
        <w:r w:rsidR="005A7024" w:rsidRPr="001436AB">
          <w:rPr>
            <w:rStyle w:val="Hyperlink"/>
            <w:b/>
            <w:bCs/>
            <w:lang w:val="sr-Latn-RS"/>
          </w:rPr>
          <w:t xml:space="preserve"> 1</w:t>
        </w:r>
      </w:hyperlink>
      <w:r w:rsidR="005A7024" w:rsidRPr="001436AB">
        <w:rPr>
          <w:rStyle w:val="apple-converted-space"/>
          <w:color w:val="2A2A2A"/>
          <w:lang w:val="sr-Latn-RS"/>
        </w:rPr>
        <w:t xml:space="preserve"> </w:t>
      </w:r>
    </w:p>
    <w:p w14:paraId="4A7E1EF6" w14:textId="69DD4E35" w:rsidR="005A7024" w:rsidRPr="001436AB" w:rsidRDefault="00292744" w:rsidP="005A702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t>Izvoz u</w:t>
      </w:r>
      <w:r w:rsidR="00A13CD3"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t xml:space="preserve"> i uvoz iz država potpisnica 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sr-Latn-RS"/>
        </w:rPr>
        <w:t xml:space="preserve">mora biti u </w:t>
      </w:r>
      <w:r w:rsidR="00CC543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sr-Latn-RS"/>
        </w:rPr>
        <w:t xml:space="preserve">dozvoljene </w:t>
      </w:r>
      <w:r w:rsidR="00D57931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sr-Latn-RS"/>
        </w:rPr>
        <w:t>svrhe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sr-Latn-RS"/>
        </w:rPr>
        <w:t xml:space="preserve"> </w:t>
      </w:r>
      <w:r w:rsidR="005A7024" w:rsidRPr="001436AB"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t>(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t xml:space="preserve">istraživačke, medicinske, farmaceutske ili zaštitne) i u količinama koje državi potpisnici koja hemikalije kupuje omogućava da zadrži ukupnu količinu tih hemikalija koja je 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sr-Latn-RS"/>
        </w:rPr>
        <w:t>u bilo kom trenutku jednaka ili manja od 1 tone.</w:t>
      </w:r>
      <w:r w:rsidR="005A7024" w:rsidRPr="001436AB">
        <w:rPr>
          <w:rStyle w:val="EndnoteReference"/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  <w:endnoteReference w:id="4"/>
      </w:r>
    </w:p>
    <w:p w14:paraId="4A7E1EF7" w14:textId="205522DD" w:rsidR="005A7024" w:rsidRPr="001436AB" w:rsidRDefault="00A13CD3" w:rsidP="005A702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Ponovni izvoz/</w:t>
      </w:r>
      <w:r w:rsidR="006976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ponovni prenos hemikalija sa Liste 1 je z</w:t>
      </w:r>
      <w:r w:rsidR="0029274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abranjen. 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A7E1EF8" w14:textId="58074F7C" w:rsidR="005A7024" w:rsidRPr="001436AB" w:rsidRDefault="00292744" w:rsidP="005A7024">
      <w:pPr>
        <w:pStyle w:val="bodytext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20"/>
        <w:jc w:val="both"/>
        <w:rPr>
          <w:color w:val="2A2A2A"/>
          <w:lang w:val="sr-Latn-RS"/>
        </w:rPr>
      </w:pPr>
      <w:r>
        <w:rPr>
          <w:b/>
          <w:lang w:val="sr-Latn-RS"/>
        </w:rPr>
        <w:t xml:space="preserve">Svi prenosi podležu obavezi prethodnog obaveštavanja i zahtevaju dostavljanje izjave o planiranom prenosu na godišnjem nivou. </w:t>
      </w:r>
      <w:r w:rsidR="005A7024" w:rsidRPr="001436AB">
        <w:rPr>
          <w:b/>
          <w:lang w:val="sr-Latn-RS"/>
        </w:rPr>
        <w:t xml:space="preserve"> </w:t>
      </w:r>
    </w:p>
    <w:p w14:paraId="4A7E1EF9" w14:textId="164EF02B" w:rsidR="005A7024" w:rsidRPr="001436AB" w:rsidRDefault="00292744" w:rsidP="005A7024">
      <w:pPr>
        <w:pStyle w:val="bodytext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20"/>
        <w:jc w:val="both"/>
        <w:rPr>
          <w:color w:val="2A2A2A"/>
          <w:lang w:val="sr-Latn-RS"/>
        </w:rPr>
      </w:pPr>
      <w:r>
        <w:rPr>
          <w:lang w:val="sr-Latn-RS"/>
        </w:rPr>
        <w:t xml:space="preserve">Ograničenja se primenjuju </w:t>
      </w:r>
      <w:r w:rsidR="006976F0">
        <w:rPr>
          <w:lang w:val="sr-Latn-RS"/>
        </w:rPr>
        <w:t>bez obzira na</w:t>
      </w:r>
      <w:r>
        <w:rPr>
          <w:lang w:val="sr-Latn-RS"/>
        </w:rPr>
        <w:t xml:space="preserve"> količin</w:t>
      </w:r>
      <w:r w:rsidR="006976F0">
        <w:rPr>
          <w:lang w:val="sr-Latn-RS"/>
        </w:rPr>
        <w:t>u koja se prenosi</w:t>
      </w:r>
      <w:r>
        <w:rPr>
          <w:lang w:val="sr-Latn-RS"/>
        </w:rPr>
        <w:t xml:space="preserve"> ili </w:t>
      </w:r>
      <w:r w:rsidR="00A13CD3">
        <w:rPr>
          <w:lang w:val="sr-Latn-RS"/>
        </w:rPr>
        <w:t>koncentracij</w:t>
      </w:r>
      <w:r w:rsidR="006976F0">
        <w:rPr>
          <w:lang w:val="sr-Latn-RS"/>
        </w:rPr>
        <w:t>u</w:t>
      </w:r>
      <w:r>
        <w:rPr>
          <w:lang w:val="sr-Latn-RS"/>
        </w:rPr>
        <w:t xml:space="preserve"> hemikalije</w:t>
      </w:r>
      <w:r w:rsidR="00A01BE8">
        <w:rPr>
          <w:lang w:val="sr-Latn-RS"/>
        </w:rPr>
        <w:t>,</w:t>
      </w:r>
      <w:r>
        <w:rPr>
          <w:lang w:val="sr-Latn-RS"/>
        </w:rPr>
        <w:t xml:space="preserve"> </w:t>
      </w:r>
      <w:r w:rsidR="006976F0">
        <w:rPr>
          <w:lang w:val="sr-Latn-RS"/>
        </w:rPr>
        <w:t>a</w:t>
      </w:r>
      <w:r>
        <w:rPr>
          <w:lang w:val="sr-Latn-RS"/>
        </w:rPr>
        <w:t xml:space="preserve">ko </w:t>
      </w:r>
      <w:r w:rsidR="00A01BE8">
        <w:rPr>
          <w:lang w:val="sr-Latn-RS"/>
        </w:rPr>
        <w:t>je u pitanju</w:t>
      </w:r>
      <w:r>
        <w:rPr>
          <w:lang w:val="sr-Latn-RS"/>
        </w:rPr>
        <w:t xml:space="preserve"> smeša</w:t>
      </w:r>
      <w:r w:rsidR="006976F0">
        <w:rPr>
          <w:lang w:val="sr-Latn-RS"/>
        </w:rPr>
        <w:t>.</w:t>
      </w:r>
      <w:r>
        <w:rPr>
          <w:lang w:val="sr-Latn-RS"/>
        </w:rPr>
        <w:t xml:space="preserve"> </w:t>
      </w:r>
      <w:r w:rsidR="005A7024" w:rsidRPr="001436AB">
        <w:rPr>
          <w:lang w:val="sr-Latn-RS"/>
        </w:rPr>
        <w:t xml:space="preserve"> </w:t>
      </w:r>
    </w:p>
    <w:p w14:paraId="4A7E1EFA" w14:textId="296F1694" w:rsidR="005A7024" w:rsidRPr="001436AB" w:rsidRDefault="00827282" w:rsidP="005A7024">
      <w:pPr>
        <w:pStyle w:val="bodytext"/>
        <w:shd w:val="clear" w:color="auto" w:fill="FFFFFF"/>
        <w:spacing w:before="240" w:beforeAutospacing="0" w:after="120" w:afterAutospacing="0"/>
        <w:jc w:val="both"/>
        <w:rPr>
          <w:color w:val="2A2A2A"/>
          <w:lang w:val="sr-Latn-RS"/>
        </w:rPr>
      </w:pPr>
      <w:hyperlink r:id="rId11" w:history="1">
        <w:r w:rsidR="00292744">
          <w:rPr>
            <w:rStyle w:val="Hyperlink"/>
            <w:b/>
            <w:bCs/>
            <w:lang w:val="sr-Latn-RS"/>
          </w:rPr>
          <w:t>Lista</w:t>
        </w:r>
        <w:r w:rsidR="005A7024" w:rsidRPr="001436AB">
          <w:rPr>
            <w:rStyle w:val="Hyperlink"/>
            <w:b/>
            <w:bCs/>
            <w:lang w:val="sr-Latn-RS"/>
          </w:rPr>
          <w:t xml:space="preserve"> 2</w:t>
        </w:r>
      </w:hyperlink>
      <w:r w:rsidR="005A7024" w:rsidRPr="001436AB">
        <w:rPr>
          <w:rStyle w:val="apple-converted-space"/>
          <w:color w:val="2A2A2A"/>
          <w:lang w:val="sr-Latn-RS"/>
        </w:rPr>
        <w:t xml:space="preserve"> </w:t>
      </w:r>
    </w:p>
    <w:p w14:paraId="4A7E1EFB" w14:textId="72882299" w:rsidR="005A7024" w:rsidRPr="001436AB" w:rsidRDefault="00666463" w:rsidP="005A70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Hemikalijama sa Liste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2 </w:t>
      </w:r>
      <w:r w:rsidR="00A01BE8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vrlo često trguje </w:t>
      </w:r>
      <w:r w:rsidR="00A01BE8">
        <w:rPr>
          <w:rFonts w:ascii="Times New Roman" w:hAnsi="Times New Roman" w:cs="Times New Roman"/>
          <w:sz w:val="24"/>
          <w:szCs w:val="24"/>
          <w:lang w:val="sr-Latn-RS"/>
        </w:rPr>
        <w:t>u vidu smeša ili formulacija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Konvencija o hemijskom oružju izuzima smeše koje sadrže hemikalije </w:t>
      </w:r>
      <w:r w:rsidR="00A13CD3">
        <w:rPr>
          <w:rFonts w:ascii="Times New Roman" w:hAnsi="Times New Roman" w:cs="Times New Roman"/>
          <w:sz w:val="24"/>
          <w:szCs w:val="24"/>
          <w:lang w:val="sr-Latn-RS"/>
        </w:rPr>
        <w:t>sa Liste 2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 xml:space="preserve"> iz zahteva za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podnošenj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 xml:space="preserve"> godišnjeg izveštaja i/ili 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 xml:space="preserve">prijave tj. 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>deklaracije</w:t>
      </w:r>
      <w:r w:rsidR="00A01BE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3CD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7774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01BE8" w:rsidRPr="006664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ko je koncentracija </w:t>
      </w:r>
      <w:r w:rsidR="00EB777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svake od </w:t>
      </w:r>
      <w:r w:rsidR="00A01BE8" w:rsidRPr="00666463">
        <w:rPr>
          <w:rFonts w:ascii="Times New Roman" w:hAnsi="Times New Roman" w:cs="Times New Roman"/>
          <w:b/>
          <w:sz w:val="24"/>
          <w:szCs w:val="24"/>
          <w:lang w:val="sr-Latn-RS"/>
        </w:rPr>
        <w:t>hemikalija</w:t>
      </w:r>
      <w:r w:rsidR="00EB777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sa Liste 2</w:t>
      </w:r>
      <w:r w:rsidR="00A01BE8" w:rsidRPr="006664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 smešama po masi manja od 30 procenata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A7E1EFC" w14:textId="3D5DFE8B" w:rsidR="005A7024" w:rsidRPr="001436AB" w:rsidRDefault="00666463" w:rsidP="005A70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Hemikalije sa Liste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imaju legitime komercijalne namene u količinama koje ne prelaze jednu tonu godišnje. 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A7E1EFD" w14:textId="16B0CB5A" w:rsidR="005A7024" w:rsidRPr="001436AB" w:rsidRDefault="00827282" w:rsidP="005A7024">
      <w:pPr>
        <w:pStyle w:val="bodytext"/>
        <w:shd w:val="clear" w:color="auto" w:fill="FFFFFF"/>
        <w:spacing w:before="240" w:beforeAutospacing="0" w:after="120" w:afterAutospacing="0"/>
        <w:jc w:val="both"/>
        <w:rPr>
          <w:lang w:val="sr-Latn-RS"/>
        </w:rPr>
      </w:pPr>
      <w:hyperlink r:id="rId12" w:history="1">
        <w:r w:rsidR="00292744">
          <w:rPr>
            <w:rStyle w:val="Hyperlink"/>
            <w:b/>
            <w:lang w:val="sr-Latn-RS"/>
          </w:rPr>
          <w:t>Lista</w:t>
        </w:r>
        <w:r w:rsidR="005A7024" w:rsidRPr="001436AB">
          <w:rPr>
            <w:rStyle w:val="Hyperlink"/>
            <w:b/>
            <w:lang w:val="sr-Latn-RS"/>
          </w:rPr>
          <w:t xml:space="preserve"> 3</w:t>
        </w:r>
      </w:hyperlink>
      <w:r w:rsidR="005A7024" w:rsidRPr="001436AB">
        <w:rPr>
          <w:lang w:val="sr-Latn-RS"/>
        </w:rPr>
        <w:t xml:space="preserve"> </w:t>
      </w:r>
    </w:p>
    <w:p w14:paraId="4A7E1EFE" w14:textId="4E71230D" w:rsidR="005A7024" w:rsidRPr="001436AB" w:rsidRDefault="00666463" w:rsidP="005A70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Hemikal</w:t>
      </w:r>
      <w:r w:rsidR="00A13CD3">
        <w:rPr>
          <w:rFonts w:ascii="Times New Roman" w:hAnsi="Times New Roman" w:cs="Times New Roman"/>
          <w:sz w:val="24"/>
          <w:szCs w:val="24"/>
          <w:lang w:val="sr-Latn-RS"/>
        </w:rPr>
        <w:t>ije sa L</w:t>
      </w:r>
      <w:r>
        <w:rPr>
          <w:rFonts w:ascii="Times New Roman" w:hAnsi="Times New Roman" w:cs="Times New Roman"/>
          <w:sz w:val="24"/>
          <w:szCs w:val="24"/>
          <w:lang w:val="sr-Latn-RS"/>
        </w:rPr>
        <w:t>iste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Latn-RS"/>
        </w:rPr>
        <w:t>mogu se izvoziti u zemlje koje nisu potpisnice Konvencije samo u slučaju da te zemlje dostave potvrdu o krajnjoj nameni uz obezbeđenje o sprečavanju ponovnog prenosa tih hemikalija.</w:t>
      </w:r>
      <w:r w:rsidR="005A7024" w:rsidRPr="001436AB">
        <w:rPr>
          <w:rStyle w:val="EndnoteReference"/>
          <w:rFonts w:ascii="Times New Roman" w:hAnsi="Times New Roman" w:cs="Times New Roman"/>
          <w:sz w:val="24"/>
          <w:szCs w:val="24"/>
          <w:lang w:val="sr-Latn-RS"/>
        </w:rPr>
        <w:endnoteReference w:id="5"/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A7E1EFF" w14:textId="31A46CBF" w:rsidR="005A7024" w:rsidRPr="001436AB" w:rsidRDefault="00666463" w:rsidP="005A70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Hemijske smeše koje sadrže manje od 30 procenata hemikalija sa Liste 3 i proizvodi koji su 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>identifikovani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kao roba</w:t>
      </w:r>
      <w:r w:rsidR="00EB7774">
        <w:rPr>
          <w:rFonts w:ascii="Times New Roman" w:hAnsi="Times New Roman" w:cs="Times New Roman"/>
          <w:sz w:val="24"/>
          <w:szCs w:val="24"/>
          <w:lang w:val="sr-Latn-RS"/>
        </w:rPr>
        <w:t xml:space="preserve"> široke potrošnje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pakovani za maloprodaju za ličnu upotrebu ili za pojedinačnu upotrebu </w:t>
      </w:r>
      <w:r w:rsidRPr="00EB777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mogu </w:t>
      </w:r>
      <w:r w:rsidR="00CC543E" w:rsidRPr="00EB7774">
        <w:rPr>
          <w:rFonts w:ascii="Times New Roman" w:hAnsi="Times New Roman" w:cs="Times New Roman"/>
          <w:b/>
          <w:sz w:val="24"/>
          <w:szCs w:val="24"/>
          <w:lang w:val="sr-Latn-RS"/>
        </w:rPr>
        <w:t>se izvoziti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66463">
        <w:rPr>
          <w:rFonts w:ascii="Times New Roman" w:hAnsi="Times New Roman" w:cs="Times New Roman"/>
          <w:b/>
          <w:sz w:val="24"/>
          <w:szCs w:val="24"/>
          <w:lang w:val="sr-Latn-RS"/>
        </w:rPr>
        <w:t>u države koje nisu potpisnice Konvencije o hemijskom oružju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5A7024" w:rsidRPr="001436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A7E1F00" w14:textId="61E3ACDA" w:rsidR="005A7024" w:rsidRPr="001436AB" w:rsidRDefault="00827282" w:rsidP="005A7024">
      <w:pPr>
        <w:pStyle w:val="bodytext"/>
        <w:shd w:val="clear" w:color="auto" w:fill="FFFFFF"/>
        <w:spacing w:before="240" w:beforeAutospacing="0" w:after="120" w:afterAutospacing="0"/>
        <w:jc w:val="both"/>
        <w:rPr>
          <w:b/>
          <w:color w:val="2A2A2A"/>
          <w:lang w:val="sr-Latn-RS"/>
        </w:rPr>
      </w:pPr>
      <w:hyperlink r:id="rId13" w:history="1">
        <w:r w:rsidR="00666463">
          <w:rPr>
            <w:rStyle w:val="Hyperlink"/>
            <w:b/>
            <w:bCs/>
            <w:lang w:val="sr-Latn-RS"/>
          </w:rPr>
          <w:t xml:space="preserve">Neklasifikovane diskretne organske supstance </w:t>
        </w:r>
        <w:r w:rsidR="005A7024" w:rsidRPr="001436AB">
          <w:rPr>
            <w:rStyle w:val="Hyperlink"/>
            <w:b/>
            <w:lang w:val="sr-Latn-RS"/>
          </w:rPr>
          <w:t>(DOC)</w:t>
        </w:r>
      </w:hyperlink>
    </w:p>
    <w:p w14:paraId="4A7E1F01" w14:textId="4CF0660B" w:rsidR="005A7024" w:rsidRPr="001436AB" w:rsidRDefault="00666463" w:rsidP="005A7024">
      <w:pPr>
        <w:pStyle w:val="bodytext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A2A2A"/>
          <w:lang w:val="sr-Latn-RS"/>
        </w:rPr>
      </w:pPr>
      <w:r>
        <w:rPr>
          <w:color w:val="2A2A2A"/>
          <w:lang w:val="sr-Latn-RS"/>
        </w:rPr>
        <w:t>Konvencija o hem</w:t>
      </w:r>
      <w:r w:rsidR="00536152">
        <w:rPr>
          <w:color w:val="2A2A2A"/>
          <w:lang w:val="sr-Latn-RS"/>
        </w:rPr>
        <w:t xml:space="preserve">ijskom oružju sadrži izuzeća </w:t>
      </w:r>
      <w:r w:rsidR="00EB7774">
        <w:rPr>
          <w:color w:val="2A2A2A"/>
          <w:lang w:val="sr-Latn-RS"/>
        </w:rPr>
        <w:t xml:space="preserve">u vezi sa deklarisanjem tj. prijavama za </w:t>
      </w:r>
      <w:r>
        <w:rPr>
          <w:color w:val="2A2A2A"/>
          <w:lang w:val="sr-Latn-RS"/>
        </w:rPr>
        <w:t xml:space="preserve"> preduzeća koja se bave isključivo proizvodnjom ugljovodonika, eksploziva ili polimera/</w:t>
      </w:r>
      <w:r w:rsidR="00EB7774">
        <w:rPr>
          <w:color w:val="2A2A2A"/>
          <w:lang w:val="sr-Latn-RS"/>
        </w:rPr>
        <w:t xml:space="preserve"> </w:t>
      </w:r>
      <w:r>
        <w:rPr>
          <w:color w:val="2A2A2A"/>
          <w:lang w:val="sr-Latn-RS"/>
        </w:rPr>
        <w:t xml:space="preserve">oligomera. </w:t>
      </w:r>
      <w:r w:rsidR="005A7024" w:rsidRPr="001436AB">
        <w:rPr>
          <w:color w:val="2A2A2A"/>
          <w:lang w:val="sr-Latn-RS"/>
        </w:rPr>
        <w:t xml:space="preserve"> </w:t>
      </w:r>
    </w:p>
    <w:p w14:paraId="4A7E1F02" w14:textId="65D6183B" w:rsidR="005A7024" w:rsidRPr="001436AB" w:rsidRDefault="00666463" w:rsidP="005A7024">
      <w:pPr>
        <w:pStyle w:val="bodytext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A2A2A"/>
          <w:lang w:val="sr-Latn-RS"/>
        </w:rPr>
      </w:pPr>
      <w:r>
        <w:rPr>
          <w:color w:val="2A2A2A"/>
          <w:lang w:val="sr-Latn-RS"/>
        </w:rPr>
        <w:t xml:space="preserve">Ne postoje </w:t>
      </w:r>
      <w:r w:rsidR="00A01BE8">
        <w:rPr>
          <w:color w:val="2A2A2A"/>
          <w:lang w:val="sr-Latn-RS"/>
        </w:rPr>
        <w:t xml:space="preserve">definisani </w:t>
      </w:r>
      <w:r>
        <w:rPr>
          <w:color w:val="2A2A2A"/>
          <w:lang w:val="sr-Latn-RS"/>
        </w:rPr>
        <w:t xml:space="preserve">pragovi koncentracija </w:t>
      </w:r>
      <w:r w:rsidR="003E57CA">
        <w:rPr>
          <w:color w:val="2A2A2A"/>
          <w:lang w:val="sr-Latn-RS"/>
        </w:rPr>
        <w:t xml:space="preserve">DOC </w:t>
      </w:r>
      <w:r w:rsidR="00055CD6">
        <w:rPr>
          <w:color w:val="2A2A2A"/>
          <w:lang w:val="sr-Latn-RS"/>
        </w:rPr>
        <w:t xml:space="preserve">u smešama. </w:t>
      </w:r>
    </w:p>
    <w:p w14:paraId="4A7E1F03" w14:textId="77777777" w:rsidR="008C3FDD" w:rsidRPr="001436AB" w:rsidRDefault="00827282">
      <w:pPr>
        <w:rPr>
          <w:lang w:val="sr-Latn-RS"/>
        </w:rPr>
      </w:pPr>
    </w:p>
    <w:sectPr w:rsidR="008C3FDD" w:rsidRPr="0014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E37B" w14:textId="77777777" w:rsidR="00827282" w:rsidRDefault="00827282" w:rsidP="005A7024">
      <w:pPr>
        <w:spacing w:after="0" w:line="240" w:lineRule="auto"/>
      </w:pPr>
      <w:r>
        <w:separator/>
      </w:r>
    </w:p>
  </w:endnote>
  <w:endnote w:type="continuationSeparator" w:id="0">
    <w:p w14:paraId="5186DD87" w14:textId="77777777" w:rsidR="00827282" w:rsidRDefault="00827282" w:rsidP="005A7024">
      <w:pPr>
        <w:spacing w:after="0" w:line="240" w:lineRule="auto"/>
      </w:pPr>
      <w:r>
        <w:continuationSeparator/>
      </w:r>
    </w:p>
  </w:endnote>
  <w:endnote w:id="1">
    <w:p w14:paraId="4A7E1F08" w14:textId="043CACB1" w:rsidR="005A7024" w:rsidRPr="002E4E34" w:rsidRDefault="005A7024" w:rsidP="00AE0B36">
      <w:pPr>
        <w:pStyle w:val="EndnoteText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2E4E34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2E4E34"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Usvojeno 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 xml:space="preserve">i prilagođeno iz </w:t>
      </w:r>
      <w:r w:rsidR="00EB7774">
        <w:rPr>
          <w:rFonts w:ascii="Times New Roman" w:hAnsi="Times New Roman" w:cs="Times New Roman"/>
          <w:sz w:val="18"/>
          <w:szCs w:val="18"/>
        </w:rPr>
        <w:t>“Overview of the CWC Obligation for the Chemical and Related Industries,” U.S. Department of Commerce, Bureau of Industry and Security,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m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 xml:space="preserve">aj 2006. godine, </w:t>
      </w:r>
      <w:r w:rsidRPr="002E4E34">
        <w:rPr>
          <w:rFonts w:ascii="Times New Roman" w:hAnsi="Times New Roman" w:cs="Times New Roman"/>
          <w:i/>
          <w:sz w:val="18"/>
          <w:szCs w:val="18"/>
          <w:lang w:val="sr-Latn-RS"/>
        </w:rPr>
        <w:t>&lt;</w:t>
      </w:r>
      <w:r w:rsidRPr="002E4E34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  <w:lang w:val="sr-Latn-RS"/>
        </w:rPr>
        <w:t>http://www.cwc.gov/assets/pdf/outreach_industry_publications_cwc001.pdf&gt;.</w:t>
      </w:r>
    </w:p>
  </w:endnote>
  <w:endnote w:id="2">
    <w:p w14:paraId="4A7E1F09" w14:textId="3E87D911" w:rsidR="005A7024" w:rsidRPr="002E4E34" w:rsidRDefault="005A7024" w:rsidP="00AE0B36">
      <w:pPr>
        <w:pStyle w:val="EndnoteText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2E4E34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>Staro hemijsko oružje deli se u dve kategorije: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1) 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>hemijsko oružje proizvodeno pre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1925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>. godine i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2) 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 xml:space="preserve">hemijsko oružje proizvedeno između 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>1925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>.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>i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1946</w:t>
      </w:r>
      <w:r w:rsidR="00522C05">
        <w:rPr>
          <w:rFonts w:ascii="Times New Roman" w:hAnsi="Times New Roman" w:cs="Times New Roman"/>
          <w:sz w:val="18"/>
          <w:szCs w:val="18"/>
          <w:lang w:val="sr-Latn-RS"/>
        </w:rPr>
        <w:t>.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 xml:space="preserve"> godine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„koje je do te mere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degradirano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da se više ne može koristiti kao hemijsko oružje“. 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Staro hemijsko oružje prve kategorije mora biti „uništeno ili odloženo kao“ to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ksičan o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t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p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ad u skladu sa važećim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nacio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nalnim zakonima države potpisni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ce Konvencije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po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dobijanj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u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potvrde Organizacije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za zabranu hemijskog oružja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,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 xml:space="preserve">kojom se potvrđuje da je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zaista proizvedeno pre 1925. godine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Oružje koje se nalazi u drugoj kategoriji starog hemijskog oružja uništava se u skladu sa 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zahtevima sadržanim u „Kratkom opisu hemijskog oružja“ Organizacije za zabranu hemijskog oružja iz 2017. godine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,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 xml:space="preserve"> koji važe kod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uništavanj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a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hemijskog oružja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 xml:space="preserve">, </w:t>
      </w:r>
      <w:r w:rsidRPr="002E4E34">
        <w:rPr>
          <w:rFonts w:ascii="Times New Roman" w:hAnsi="Times New Roman" w:cs="Times New Roman"/>
          <w:i/>
          <w:sz w:val="18"/>
          <w:szCs w:val="18"/>
          <w:lang w:val="sr-Latn-RS"/>
        </w:rPr>
        <w:t>&lt;https://www.opcw.org/about-chemical-weapons/what-is-a-chemical-weapon&gt;.</w:t>
      </w:r>
    </w:p>
  </w:endnote>
  <w:endnote w:id="3">
    <w:p w14:paraId="4A7E1F0A" w14:textId="177F86E4" w:rsidR="005A7024" w:rsidRPr="002E4E34" w:rsidRDefault="005A7024" w:rsidP="00AE0B36">
      <w:pPr>
        <w:pStyle w:val="EndnoteText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2E4E34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O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 xml:space="preserve">dnosi 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>na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BZ: 3-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kinuklidinil benz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ilat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(</w:t>
      </w:r>
      <w:r w:rsidR="00536152"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CAS </w:t>
      </w:r>
      <w:r w:rsidR="002E4E34">
        <w:rPr>
          <w:rFonts w:ascii="Times New Roman" w:hAnsi="Times New Roman" w:cs="Times New Roman"/>
          <w:sz w:val="18"/>
          <w:szCs w:val="18"/>
          <w:lang w:val="sr-Latn-RS"/>
        </w:rPr>
        <w:t>registarski br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>. 6581-06-2)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.</w:t>
      </w:r>
    </w:p>
  </w:endnote>
  <w:endnote w:id="4">
    <w:p w14:paraId="4A7E1F0B" w14:textId="616C7C15" w:rsidR="005A7024" w:rsidRPr="002E4E34" w:rsidRDefault="005A7024" w:rsidP="00AE0B36">
      <w:pPr>
        <w:pStyle w:val="EndnoteText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2E4E34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Na godišnjem nivou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,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 xml:space="preserve"> d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ržave potpisnice Konvencije o hemijskom oružju ne smeju da proizvedu više od jedne (1) tone hemikalija sa Liste 1 i ne smeju da u bilo kom trenutku u posedu imaju više od jedne (1) tone tih hemikalija. </w:t>
      </w:r>
    </w:p>
  </w:endnote>
  <w:endnote w:id="5">
    <w:p w14:paraId="4A7E1F0C" w14:textId="7DDF7AA3" w:rsidR="005A7024" w:rsidRPr="002E4E34" w:rsidRDefault="005A7024" w:rsidP="00AE0B3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2E4E34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Svaka pojedinačna država potpisnica Konvencije mora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da usvoji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mere 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koje obezbeđuju da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 xml:space="preserve">se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prenos hemikalija </w:t>
      </w:r>
      <w:r w:rsidR="00536152">
        <w:rPr>
          <w:rFonts w:ascii="Times New Roman" w:hAnsi="Times New Roman" w:cs="Times New Roman"/>
          <w:sz w:val="18"/>
          <w:szCs w:val="18"/>
          <w:lang w:val="sr-Latn-RS"/>
        </w:rPr>
        <w:t>sa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Liste 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3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državama koje nisu potpisnice Konvencije vrši samo u svrhe koje nisu zabranjene Konvencijom. Pomenute mere obuhvataju zahtevanje od države primaoca izdavanje potvrde koja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,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između ostalog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,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navodi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 xml:space="preserve"> sledeće: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 xml:space="preserve">da se 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prenos hemikalija vrši samo u svrhe koje Konvencij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om nisu zabranjene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;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 xml:space="preserve">da se </w:t>
      </w:r>
      <w:r w:rsidR="00EB7774">
        <w:rPr>
          <w:rFonts w:ascii="Times New Roman" w:hAnsi="Times New Roman" w:cs="Times New Roman"/>
          <w:sz w:val="18"/>
          <w:szCs w:val="18"/>
          <w:lang w:val="sr-Latn-RS"/>
        </w:rPr>
        <w:t>date</w:t>
      </w:r>
      <w:bookmarkStart w:id="0" w:name="_GoBack"/>
      <w:bookmarkEnd w:id="0"/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hemikalije </w:t>
      </w:r>
      <w:r w:rsidR="00771AE6">
        <w:rPr>
          <w:rFonts w:ascii="Times New Roman" w:hAnsi="Times New Roman" w:cs="Times New Roman"/>
          <w:sz w:val="18"/>
          <w:szCs w:val="18"/>
          <w:lang w:val="sr-Latn-RS"/>
        </w:rPr>
        <w:t>ne prenose ponovo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>; vrste i količine hemikalija; njihov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u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krajnj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u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 namen</w:t>
      </w:r>
      <w:r w:rsidR="003E57CA">
        <w:rPr>
          <w:rFonts w:ascii="Times New Roman" w:hAnsi="Times New Roman" w:cs="Times New Roman"/>
          <w:sz w:val="18"/>
          <w:szCs w:val="18"/>
          <w:lang w:val="sr-Latn-RS"/>
        </w:rPr>
        <w:t>u</w:t>
      </w:r>
      <w:r w:rsidR="00AE0B36">
        <w:rPr>
          <w:rFonts w:ascii="Times New Roman" w:hAnsi="Times New Roman" w:cs="Times New Roman"/>
          <w:sz w:val="18"/>
          <w:szCs w:val="18"/>
          <w:lang w:val="sr-Latn-RS"/>
        </w:rPr>
        <w:t xml:space="preserve">; i imena i adrese krajnjih korisnika. </w:t>
      </w:r>
      <w:r w:rsidRPr="002E4E34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7261" w14:textId="77777777" w:rsidR="00827282" w:rsidRDefault="00827282" w:rsidP="005A7024">
      <w:pPr>
        <w:spacing w:after="0" w:line="240" w:lineRule="auto"/>
      </w:pPr>
      <w:r>
        <w:separator/>
      </w:r>
    </w:p>
  </w:footnote>
  <w:footnote w:type="continuationSeparator" w:id="0">
    <w:p w14:paraId="39F645CD" w14:textId="77777777" w:rsidR="00827282" w:rsidRDefault="00827282" w:rsidP="005A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D86"/>
    <w:multiLevelType w:val="hybridMultilevel"/>
    <w:tmpl w:val="C22CADEE"/>
    <w:lvl w:ilvl="0" w:tplc="DF02C9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F7342"/>
    <w:multiLevelType w:val="hybridMultilevel"/>
    <w:tmpl w:val="D690D9A2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7349"/>
    <w:multiLevelType w:val="hybridMultilevel"/>
    <w:tmpl w:val="F8E87D1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4AAC"/>
    <w:multiLevelType w:val="hybridMultilevel"/>
    <w:tmpl w:val="F3BAD170"/>
    <w:lvl w:ilvl="0" w:tplc="DF02C9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24"/>
    <w:rsid w:val="00055CD6"/>
    <w:rsid w:val="00056253"/>
    <w:rsid w:val="000A1EF2"/>
    <w:rsid w:val="001110FB"/>
    <w:rsid w:val="001436AB"/>
    <w:rsid w:val="0017219B"/>
    <w:rsid w:val="00207F15"/>
    <w:rsid w:val="00292744"/>
    <w:rsid w:val="002E4E34"/>
    <w:rsid w:val="00366D44"/>
    <w:rsid w:val="003A5A63"/>
    <w:rsid w:val="003E57CA"/>
    <w:rsid w:val="004B0F61"/>
    <w:rsid w:val="00522C05"/>
    <w:rsid w:val="005268FE"/>
    <w:rsid w:val="00536152"/>
    <w:rsid w:val="005A7024"/>
    <w:rsid w:val="005B7006"/>
    <w:rsid w:val="00666463"/>
    <w:rsid w:val="006976F0"/>
    <w:rsid w:val="00771AE6"/>
    <w:rsid w:val="00780B53"/>
    <w:rsid w:val="007F792F"/>
    <w:rsid w:val="00827282"/>
    <w:rsid w:val="00856006"/>
    <w:rsid w:val="008957C4"/>
    <w:rsid w:val="00A01BE8"/>
    <w:rsid w:val="00A13CD3"/>
    <w:rsid w:val="00AA7FA2"/>
    <w:rsid w:val="00AE0B36"/>
    <w:rsid w:val="00CC543E"/>
    <w:rsid w:val="00D57931"/>
    <w:rsid w:val="00D9750D"/>
    <w:rsid w:val="00DF252F"/>
    <w:rsid w:val="00E02E98"/>
    <w:rsid w:val="00E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1EA1"/>
  <w15:docId w15:val="{7198916F-7A3F-442A-8E55-540293AA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0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A70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0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70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7024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7024"/>
  </w:style>
  <w:style w:type="table" w:styleId="TableGrid">
    <w:name w:val="Table Grid"/>
    <w:basedOn w:val="TableNormal"/>
    <w:uiPriority w:val="59"/>
    <w:rsid w:val="005A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pcw.org/our-work/non-proliferation/controlled-chemic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pcw.org/chemical-weapons-convention/annexes/annex-on-chemicals/schedule-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cw.org/chemical-weapons-convention/annexes/annex-on-chemicals/schedule-2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pcw.org/chemical-weapons-convention/annexes/annex-on-chemicals/schedule-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26264-248F-4475-A0C4-1C78A4F2F88A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4FB2B4F7-949D-4912-93A2-E338BF010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FE312-86BC-40E4-B43B-C65F02A44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5564</Characters>
  <Application>Microsoft Office Word</Application>
  <DocSecurity>0</DocSecurity>
  <Lines>241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Dubowsky, Ryan K</dc:creator>
  <cp:lastModifiedBy>Dora</cp:lastModifiedBy>
  <cp:revision>4</cp:revision>
  <dcterms:created xsi:type="dcterms:W3CDTF">2019-11-16T22:13:00Z</dcterms:created>
  <dcterms:modified xsi:type="dcterms:W3CDTF">2019-11-16T22:14:00Z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