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65814" w14:textId="2C41334F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B12CC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Referentni alati</w:t>
      </w:r>
    </w:p>
    <w:p w14:paraId="0A365815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0A365816" w14:textId="1DB90EE9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Referentni vodič </w:t>
      </w:r>
    </w:p>
    <w:p w14:paraId="0A365817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0A365818" w14:textId="2B7CCBA8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Organizacije koje se bave otpremanjem robe snose podjedna</w:t>
      </w:r>
      <w:r w:rsidR="005A7BA2">
        <w:rPr>
          <w:rFonts w:ascii="Times New Roman" w:hAnsi="Times New Roman" w:cs="Times New Roman"/>
          <w:sz w:val="24"/>
          <w:szCs w:val="24"/>
          <w:lang w:val="hr-HR"/>
        </w:rPr>
        <w:t xml:space="preserve">ku odgovornost </w:t>
      </w:r>
      <w:r w:rsidR="00200F99">
        <w:rPr>
          <w:rFonts w:ascii="Times New Roman" w:hAnsi="Times New Roman" w:cs="Times New Roman"/>
          <w:sz w:val="24"/>
          <w:szCs w:val="24"/>
          <w:lang w:val="hr-HR"/>
        </w:rPr>
        <w:t>u o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sigur</w:t>
      </w:r>
      <w:r w:rsidR="00200F99">
        <w:rPr>
          <w:rFonts w:ascii="Times New Roman" w:hAnsi="Times New Roman" w:cs="Times New Roman"/>
          <w:sz w:val="24"/>
          <w:szCs w:val="24"/>
          <w:lang w:val="hr-HR"/>
        </w:rPr>
        <w:t>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 se </w:t>
      </w:r>
      <w:r w:rsidR="005A7BA2">
        <w:rPr>
          <w:rFonts w:ascii="Times New Roman" w:hAnsi="Times New Roman" w:cs="Times New Roman"/>
          <w:sz w:val="24"/>
          <w:szCs w:val="24"/>
          <w:lang w:val="hr-HR"/>
        </w:rPr>
        <w:t>kod otpremanja robe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pridržavaju nacionalnih zakona i propisa koji se odnose na kontrolu spoljne trgovine strateškom robom. 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One takođe pomažu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sprečavanju nelegalnog otpremanja robe i tehnologija vojne i dvostruke namene koje izazivaju zab</w:t>
      </w:r>
      <w:r w:rsidR="005A7BA2">
        <w:rPr>
          <w:rFonts w:ascii="Times New Roman" w:hAnsi="Times New Roman" w:cs="Times New Roman"/>
          <w:sz w:val="24"/>
          <w:szCs w:val="24"/>
          <w:lang w:val="hr-HR"/>
        </w:rPr>
        <w:t xml:space="preserve">rinutost 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u pogledu</w:t>
      </w:r>
      <w:r w:rsidR="005A7BA2">
        <w:rPr>
          <w:rFonts w:ascii="Times New Roman" w:hAnsi="Times New Roman" w:cs="Times New Roman"/>
          <w:sz w:val="24"/>
          <w:szCs w:val="24"/>
          <w:lang w:val="hr-HR"/>
        </w:rPr>
        <w:t xml:space="preserve"> širenja naoružanja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,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zemlje koje podržavaju terorizam. </w:t>
      </w:r>
    </w:p>
    <w:p w14:paraId="0A365819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36581A" w14:textId="590147B9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Otpremnici bi trebalo da sačine i uredno vode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Referentni vodič </w:t>
      </w:r>
      <w:r w:rsidRPr="00200F99">
        <w:rPr>
          <w:rFonts w:ascii="Times New Roman" w:hAnsi="Times New Roman" w:cs="Times New Roman"/>
          <w:sz w:val="24"/>
          <w:szCs w:val="24"/>
          <w:lang w:val="hr-HR"/>
        </w:rPr>
        <w:t>odnosno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Vodič </w:t>
      </w:r>
      <w:r w:rsidR="000878D6">
        <w:rPr>
          <w:rFonts w:ascii="Times New Roman" w:hAnsi="Times New Roman" w:cs="Times New Roman"/>
          <w:b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 interne usklađenosti za otpremnike </w:t>
      </w:r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 xml:space="preserve">slično Vodiču 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hr-HR"/>
        </w:rPr>
        <w:t>rogram interne usklađenosti</w:t>
      </w:r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hr-HR"/>
        </w:rPr>
        <w:t>koji obuhvata referentne obrasce i modele dokumenata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 xml:space="preserve"> od pomoći u izradi sopstvenih politika i procedura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hr-HR"/>
        </w:rPr>
        <w:t>rograma interne uskl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ađenosti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 xml:space="preserve">daje 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smernic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e za njegovu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implementacij</w:t>
      </w:r>
      <w:r w:rsidR="000878D6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A36581B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36581C" w14:textId="27072B4E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Referentni vodič </w:t>
      </w:r>
      <w:r w:rsidRPr="00200F99">
        <w:rPr>
          <w:rFonts w:ascii="Times New Roman" w:hAnsi="Times New Roman" w:cs="Times New Roman"/>
          <w:sz w:val="24"/>
          <w:szCs w:val="24"/>
          <w:lang w:val="hr-HR"/>
        </w:rPr>
        <w:t>odnosno</w:t>
      </w:r>
      <w:r w:rsidR="000878D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Vodič za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 interne usklađenosti za otpremnike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može da obuhvati sledeće teme: </w:t>
      </w:r>
    </w:p>
    <w:p w14:paraId="0A36581D" w14:textId="64243295" w:rsidR="006C48D6" w:rsidRPr="00B12CC0" w:rsidRDefault="006C4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2C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36583E" wp14:editId="0A36583F">
            <wp:simplePos x="0" y="0"/>
            <wp:positionH relativeFrom="margin">
              <wp:posOffset>3244850</wp:posOffset>
            </wp:positionH>
            <wp:positionV relativeFrom="margin">
              <wp:posOffset>2999105</wp:posOffset>
            </wp:positionV>
            <wp:extent cx="2563495" cy="1776095"/>
            <wp:effectExtent l="0" t="0" r="825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per16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CC0">
        <w:rPr>
          <w:rFonts w:ascii="Times New Roman" w:hAnsi="Times New Roman" w:cs="Times New Roman"/>
          <w:noProof/>
          <w:sz w:val="24"/>
          <w:szCs w:val="24"/>
          <w:lang w:val="hr-HR"/>
        </w:rPr>
        <w:t>Izjavu o politici preduzeća</w:t>
      </w:r>
      <w:r w:rsidR="001810E3">
        <w:rPr>
          <w:rFonts w:ascii="Times New Roman" w:hAnsi="Times New Roman" w:cs="Times New Roman"/>
          <w:noProof/>
          <w:sz w:val="24"/>
          <w:szCs w:val="24"/>
          <w:lang w:val="hr-HR"/>
        </w:rPr>
        <w:t>,</w:t>
      </w:r>
      <w:r w:rsidR="00B12CC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</w:p>
    <w:p w14:paraId="0A36581E" w14:textId="49EE0816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dgovorna lica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1F" w14:textId="1CA8EFE3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nacionalne zakone i propise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0" w14:textId="61FA1C44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ržavne agencije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1" w14:textId="7993C2A0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rovere transakcija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2" w14:textId="28BA91A2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ontrolu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 xml:space="preserve"> otpremanja robe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3" w14:textId="3214967F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 xml:space="preserve">evizije i interne </w:t>
      </w:r>
      <w:r>
        <w:rPr>
          <w:rFonts w:ascii="Times New Roman" w:hAnsi="Times New Roman" w:cs="Times New Roman"/>
          <w:sz w:val="24"/>
          <w:szCs w:val="24"/>
          <w:lang w:val="hr-HR"/>
        </w:rPr>
        <w:t>kontrole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4" w14:textId="2B2B5470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buke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A365825" w14:textId="0CB8E68E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videncije i dokumentaciju,</w:t>
      </w:r>
    </w:p>
    <w:p w14:paraId="0A365826" w14:textId="47E29D2C" w:rsidR="006C48D6" w:rsidRPr="00B12CC0" w:rsidRDefault="000878D6" w:rsidP="006C48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12CC0">
        <w:rPr>
          <w:rFonts w:ascii="Times New Roman" w:hAnsi="Times New Roman" w:cs="Times New Roman"/>
          <w:sz w:val="24"/>
          <w:szCs w:val="24"/>
          <w:lang w:val="hr-HR"/>
        </w:rPr>
        <w:t>zveštavanje i obaveštavanje</w:t>
      </w:r>
      <w:r w:rsidR="001810E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A365827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365828" w14:textId="1DD02057" w:rsidR="006C48D6" w:rsidRPr="00B12CC0" w:rsidRDefault="00B12CC0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primere dokumenata na neke od pomenutih tema, pogledajte odeljak </w:t>
      </w:r>
      <w:r w:rsidR="000878D6">
        <w:rPr>
          <w:rFonts w:ascii="Times New Roman" w:hAnsi="Times New Roman" w:cs="Times New Roman"/>
          <w:b/>
          <w:sz w:val="24"/>
          <w:szCs w:val="24"/>
          <w:lang w:val="hr-HR"/>
        </w:rPr>
        <w:t xml:space="preserve">,,Izrada Priručnika za Program interne usklađenosti”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Vodiča </w:t>
      </w:r>
      <w:r w:rsidR="001810E3">
        <w:rPr>
          <w:rFonts w:ascii="Times New Roman" w:hAnsi="Times New Roman" w:cs="Times New Roman"/>
          <w:b/>
          <w:sz w:val="24"/>
          <w:szCs w:val="24"/>
          <w:lang w:val="hr-HR"/>
        </w:rPr>
        <w:t>koji se nalazi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ovd</w:t>
        </w:r>
        <w:r w:rsidR="006C48D6" w:rsidRPr="00B12CC0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e</w:t>
        </w:r>
      </w:hyperlink>
      <w:r w:rsidR="006C48D6" w:rsidRPr="00B12CC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14:paraId="0A365829" w14:textId="77777777" w:rsidR="006C48D6" w:rsidRPr="00B12CC0" w:rsidRDefault="006C48D6" w:rsidP="006C48D6">
      <w:pPr>
        <w:rPr>
          <w:rFonts w:ascii="Times New Roman" w:hAnsi="Times New Roman" w:cs="Times New Roman"/>
          <w:u w:val="single"/>
          <w:lang w:val="hr-HR"/>
        </w:rPr>
      </w:pPr>
      <w:r w:rsidRPr="00B12CC0">
        <w:rPr>
          <w:rFonts w:ascii="Times New Roman" w:hAnsi="Times New Roman" w:cs="Times New Roman"/>
          <w:u w:val="single"/>
          <w:lang w:val="hr-HR"/>
        </w:rPr>
        <w:br w:type="page"/>
      </w:r>
    </w:p>
    <w:p w14:paraId="0A36582A" w14:textId="2BD701D3" w:rsidR="006C48D6" w:rsidRPr="00B12CC0" w:rsidRDefault="00067FDF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 xml:space="preserve">Alati za implementaciju </w:t>
      </w:r>
    </w:p>
    <w:p w14:paraId="0A36582B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</w:p>
    <w:p w14:paraId="0A36582C" w14:textId="4CC9B7A6" w:rsidR="006C48D6" w:rsidRPr="00B12CC0" w:rsidRDefault="00067FDF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odeljak sadrži alate i referentne materijale kao pomoć </w:t>
      </w:r>
      <w:r w:rsidR="006C42D3">
        <w:rPr>
          <w:rFonts w:ascii="Times New Roman" w:hAnsi="Times New Roman" w:cs="Times New Roman"/>
          <w:sz w:val="24"/>
          <w:szCs w:val="24"/>
          <w:lang w:val="hr-HR"/>
        </w:rPr>
        <w:t>otpremnicima u implementaciji efikasnog P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rograma interne usklađenosti. </w:t>
      </w:r>
    </w:p>
    <w:p w14:paraId="0A36582D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36582E" w14:textId="1B073060" w:rsidR="006C48D6" w:rsidRPr="00B12CC0" w:rsidRDefault="006C42D3" w:rsidP="006C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</w:t>
      </w:r>
      <w:r w:rsidR="00067FDF">
        <w:rPr>
          <w:rFonts w:ascii="Times New Roman" w:hAnsi="Times New Roman" w:cs="Times New Roman"/>
          <w:b/>
          <w:sz w:val="24"/>
          <w:szCs w:val="24"/>
          <w:lang w:val="hr-HR"/>
        </w:rPr>
        <w:t>a pristup alatima i informacijama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0878D6">
        <w:rPr>
          <w:rFonts w:ascii="Times New Roman" w:hAnsi="Times New Roman" w:cs="Times New Roman"/>
          <w:b/>
          <w:sz w:val="24"/>
          <w:szCs w:val="24"/>
          <w:lang w:val="hr-HR"/>
        </w:rPr>
        <w:t>kliknite na linkove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nastavku teksta</w:t>
      </w:r>
      <w:r w:rsidR="00067F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</w:p>
    <w:p w14:paraId="0A36582F" w14:textId="295BDC2A" w:rsidR="006C48D6" w:rsidRPr="00B12CC0" w:rsidRDefault="0087501C" w:rsidP="006C48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80" w:after="12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  <w:hyperlink r:id="rId13" w:history="1">
        <w:r w:rsidR="00067FD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Alat za pretraživanje kontrolnih listi </w:t>
        </w:r>
      </w:hyperlink>
    </w:p>
    <w:p w14:paraId="0A365830" w14:textId="2ECF5A71" w:rsidR="006C48D6" w:rsidRPr="00B12CC0" w:rsidRDefault="0087501C" w:rsidP="006C48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80" w:after="12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  <w:hyperlink r:id="rId14" w:history="1">
        <w:r w:rsidR="00067FD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Alat za proveru 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l</w:t>
        </w:r>
      </w:hyperlink>
      <w:r w:rsidR="00067FDF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ica na koja se primenjuju ograničenja</w:t>
      </w:r>
      <w:r w:rsidR="006C48D6" w:rsidRPr="00B12CC0"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  <w:t xml:space="preserve"> </w:t>
      </w:r>
    </w:p>
    <w:p w14:paraId="0A365831" w14:textId="5823F1C4" w:rsidR="006C48D6" w:rsidRPr="00B12CC0" w:rsidRDefault="0087501C" w:rsidP="006C48D6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hr-HR"/>
        </w:rPr>
      </w:pPr>
      <w:hyperlink r:id="rId15" w:history="1">
        <w:r w:rsidR="00067FD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Crvene zastavice i li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s</w:t>
        </w:r>
      </w:hyperlink>
      <w:r w:rsidR="00067FDF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te za proveru</w:t>
      </w:r>
    </w:p>
    <w:p w14:paraId="7DCE0AEB" w14:textId="3E00355B" w:rsidR="00067FDF" w:rsidRPr="00FD03B0" w:rsidRDefault="006C48D6" w:rsidP="00FD03B0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Style w:val="Hyperlink"/>
          <w:rFonts w:ascii="Times New Roman" w:hAnsi="Times New Roman" w:cs="Times New Roman"/>
          <w:sz w:val="24"/>
          <w:szCs w:val="24"/>
          <w:lang w:val="hr-HR"/>
        </w:rPr>
      </w:pPr>
      <w:r w:rsidRPr="00B12CC0">
        <w:rPr>
          <w:rFonts w:ascii="Times New Roman" w:hAnsi="Times New Roman" w:cs="Times New Roman"/>
          <w:sz w:val="24"/>
          <w:szCs w:val="24"/>
          <w:lang w:val="hr-HR"/>
        </w:rPr>
        <w:fldChar w:fldCharType="begin"/>
      </w:r>
      <w:r w:rsidRPr="00B12CC0">
        <w:rPr>
          <w:rFonts w:ascii="Times New Roman" w:hAnsi="Times New Roman" w:cs="Times New Roman"/>
          <w:sz w:val="24"/>
          <w:szCs w:val="24"/>
          <w:lang w:val="hr-HR"/>
        </w:rPr>
        <w:instrText xml:space="preserve"> HYPERLINK "http://trade.ec.europa.eu/doclib/html/155248.htm" </w:instrText>
      </w:r>
      <w:r w:rsidRPr="00B12CC0">
        <w:rPr>
          <w:rFonts w:ascii="Times New Roman" w:hAnsi="Times New Roman" w:cs="Times New Roman"/>
          <w:sz w:val="24"/>
          <w:szCs w:val="24"/>
          <w:lang w:val="hr-HR"/>
        </w:rPr>
        <w:fldChar w:fldCharType="separate"/>
      </w:r>
      <w:r w:rsidR="00FD03B0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Korelacion</w:t>
      </w:r>
      <w:r w:rsidR="005D461F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a tabela šifara Kombinovane nom</w:t>
      </w:r>
      <w:r w:rsidR="00FD03B0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enklature i šifara Liste robe dvos</w:t>
      </w:r>
      <w:r w:rsidRPr="00B12CC0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t</w:t>
      </w:r>
      <w:r w:rsidR="005D461F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ruke namene EU</w:t>
      </w:r>
      <w:r w:rsidRPr="00B12CC0">
        <w:rPr>
          <w:rStyle w:val="Hyperlink"/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A365833" w14:textId="53F33421" w:rsidR="006C48D6" w:rsidRPr="005D461F" w:rsidRDefault="006C48D6" w:rsidP="00FD03B0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hr-HR"/>
        </w:rPr>
      </w:pPr>
      <w:r w:rsidRPr="00B12CC0">
        <w:rPr>
          <w:rFonts w:ascii="Times New Roman" w:hAnsi="Times New Roman" w:cs="Times New Roman"/>
          <w:sz w:val="24"/>
          <w:szCs w:val="24"/>
          <w:lang w:val="hr-HR"/>
        </w:rPr>
        <w:fldChar w:fldCharType="end"/>
      </w:r>
      <w:hyperlink r:id="rId16" w:history="1">
        <w:r w:rsidR="00FD03B0" w:rsidRPr="005D461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Smernice za špediter</w:t>
        </w:r>
        <w:r w:rsidRPr="005D461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e</w:t>
        </w:r>
      </w:hyperlink>
      <w:r w:rsidRPr="005D461F">
        <w:rPr>
          <w:rFonts w:ascii="Times New Roman" w:hAnsi="Times New Roman" w:cs="Times New Roman"/>
          <w:sz w:val="24"/>
          <w:szCs w:val="24"/>
          <w:lang w:val="hr-HR"/>
        </w:rPr>
        <w:t xml:space="preserve">:  </w:t>
      </w:r>
      <w:r w:rsidR="00FD03B0" w:rsidRPr="005D461F">
        <w:rPr>
          <w:rFonts w:ascii="Times New Roman" w:hAnsi="Times New Roman" w:cs="Times New Roman"/>
          <w:sz w:val="24"/>
          <w:szCs w:val="24"/>
          <w:lang w:val="uz-Cyrl-UZ"/>
        </w:rPr>
        <w:t xml:space="preserve">Biro Sjedinjenih Američkih Država za industriju i bezbednost (BIS), Ministarstvo trgovine SAD </w:t>
      </w:r>
      <w:r w:rsidRPr="005D461F">
        <w:rPr>
          <w:rFonts w:ascii="Times New Roman" w:hAnsi="Times New Roman" w:cs="Times New Roman"/>
          <w:sz w:val="24"/>
          <w:szCs w:val="24"/>
          <w:lang w:val="hr-HR"/>
        </w:rPr>
        <w:t>(2012)</w:t>
      </w:r>
    </w:p>
    <w:p w14:paraId="0A365834" w14:textId="007A898C" w:rsidR="006C48D6" w:rsidRPr="00B72E88" w:rsidRDefault="0087501C" w:rsidP="00B72E88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hr-HR"/>
        </w:rPr>
      </w:pPr>
      <w:hyperlink r:id="rId17" w:history="1">
        <w:r w:rsidR="00B72E8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,,Dobra praksa” za industriju u borbi protiv neovlašćenog preusmeravanja robe kroz pretovar robe u spoljn</w:t>
        </w:r>
        <w:r w:rsidR="000878D6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otrgovinskom prometu</w:t>
        </w:r>
      </w:hyperlink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B72E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03B0" w:rsidRPr="00B72E88">
        <w:rPr>
          <w:rFonts w:ascii="Times New Roman" w:hAnsi="Times New Roman" w:cs="Times New Roman"/>
          <w:sz w:val="24"/>
          <w:szCs w:val="24"/>
          <w:lang w:val="uz-Cyrl-UZ"/>
        </w:rPr>
        <w:t xml:space="preserve">Biro Sjedinjenih Američkih Država za industriju i bezbednost (BIS), Ministarstvo trgovine SAD </w:t>
      </w:r>
      <w:r w:rsidR="006C48D6" w:rsidRPr="00B72E88">
        <w:rPr>
          <w:rFonts w:ascii="Times New Roman" w:hAnsi="Times New Roman" w:cs="Times New Roman"/>
          <w:sz w:val="24"/>
          <w:szCs w:val="24"/>
          <w:lang w:val="hr-HR"/>
        </w:rPr>
        <w:t>(2012)</w:t>
      </w:r>
    </w:p>
    <w:p w14:paraId="0A365835" w14:textId="68E5B907" w:rsidR="006C48D6" w:rsidRPr="00B12CC0" w:rsidRDefault="00FD03B0" w:rsidP="006C48D6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UPITNIK</w:t>
      </w:r>
      <w:r w:rsidR="006C48D6" w:rsidRPr="00B12CC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Pokazatelji crvenih za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s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hr-HR"/>
        </w:rPr>
        <w:t>tavica</w:t>
      </w:r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A365836" w14:textId="02DC298F" w:rsidR="006C48D6" w:rsidRPr="005D461F" w:rsidRDefault="006C48D6" w:rsidP="006C48D6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Style w:val="Hyperlink"/>
          <w:rFonts w:ascii="Times New Roman" w:hAnsi="Times New Roman" w:cs="Times New Roman"/>
          <w:color w:val="7030A0"/>
          <w:sz w:val="24"/>
          <w:szCs w:val="24"/>
          <w:lang w:val="hr-HR"/>
        </w:rPr>
      </w:pPr>
      <w:r w:rsidRPr="00B12CC0">
        <w:rPr>
          <w:rFonts w:ascii="Times New Roman" w:hAnsi="Times New Roman" w:cs="Times New Roman"/>
          <w:b/>
          <w:sz w:val="24"/>
          <w:szCs w:val="24"/>
          <w:lang w:val="hr-HR"/>
        </w:rPr>
        <w:t>VIDEO</w:t>
      </w:r>
      <w:r w:rsidR="00FD03B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PRILOG</w:t>
      </w:r>
      <w:r w:rsidRPr="00B12CC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B12C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19" w:history="1">
        <w:r w:rsidR="00B72E8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Uočavanje aktuelnih crvenih zastavica – saveti kako izbeći nelegalnu nabavku i preusmeravanje robe u svrhe širenja </w:t>
        </w:r>
        <w:r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n</w:t>
        </w:r>
      </w:hyperlink>
      <w:r w:rsidR="00B72E88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aoružanja</w:t>
      </w:r>
    </w:p>
    <w:p w14:paraId="0A365837" w14:textId="18AD4995" w:rsidR="006C48D6" w:rsidRDefault="00FD03B0" w:rsidP="006C48D6">
      <w:pPr>
        <w:pStyle w:val="ListParagraph"/>
        <w:numPr>
          <w:ilvl w:val="0"/>
          <w:numId w:val="7"/>
        </w:numPr>
        <w:spacing w:before="180" w:after="12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STUDIJE SLUČAJA</w:t>
      </w:r>
      <w:r w:rsidR="006C48D6" w:rsidRPr="00B12CC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6C48D6" w:rsidRPr="00B12C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20" w:history="1">
        <w:r w:rsidR="00B72E8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Aneks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 4</w:t>
        </w:r>
        <w:r w:rsidR="00B72E8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 Kodeksa o poštovanju usklađenosti Ujedinjenog Kraljevstva sadrži studije slučaja kontrole primene propisa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 xml:space="preserve"> [</w:t>
        </w:r>
        <w:r w:rsidR="006C48D6" w:rsidRPr="00B12CC0">
          <w:rPr>
            <w:rStyle w:val="Hyperlink"/>
            <w:rFonts w:ascii="Times New Roman" w:hAnsi="Times New Roman" w:cs="Times New Roman"/>
            <w:i/>
            <w:sz w:val="24"/>
            <w:szCs w:val="24"/>
            <w:lang w:val="hr-HR"/>
          </w:rPr>
          <w:t>s</w:t>
        </w:r>
        <w:r w:rsidR="00B72E88">
          <w:rPr>
            <w:rStyle w:val="Hyperlink"/>
            <w:rFonts w:ascii="Times New Roman" w:hAnsi="Times New Roman" w:cs="Times New Roman"/>
            <w:i/>
            <w:sz w:val="24"/>
            <w:szCs w:val="24"/>
            <w:lang w:val="hr-HR"/>
          </w:rPr>
          <w:t>tr</w:t>
        </w:r>
        <w:r w:rsidR="006C48D6" w:rsidRPr="00B12CC0">
          <w:rPr>
            <w:rStyle w:val="Hyperlink"/>
            <w:rFonts w:ascii="Times New Roman" w:hAnsi="Times New Roman" w:cs="Times New Roman"/>
            <w:i/>
            <w:sz w:val="24"/>
            <w:szCs w:val="24"/>
            <w:lang w:val="hr-HR"/>
          </w:rPr>
          <w:t>. 19-25</w:t>
        </w:r>
        <w:r w:rsidR="006C48D6" w:rsidRPr="00B12CC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]</w:t>
        </w:r>
      </w:hyperlink>
      <w:r w:rsidR="006C48D6" w:rsidRPr="00B12CC0"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  <w:t xml:space="preserve"> </w:t>
      </w:r>
    </w:p>
    <w:p w14:paraId="0A365838" w14:textId="77777777" w:rsidR="006C48D6" w:rsidRPr="00B12CC0" w:rsidRDefault="006C48D6" w:rsidP="006C48D6">
      <w:pPr>
        <w:rPr>
          <w:rFonts w:ascii="Times New Roman" w:hAnsi="Times New Roman" w:cs="Times New Roman"/>
          <w:color w:val="7030A0"/>
          <w:u w:val="single"/>
          <w:lang w:val="hr-HR"/>
        </w:rPr>
      </w:pPr>
      <w:r w:rsidRPr="00B12CC0">
        <w:rPr>
          <w:rFonts w:ascii="Times New Roman" w:hAnsi="Times New Roman" w:cs="Times New Roman"/>
          <w:color w:val="7030A0"/>
          <w:u w:val="single"/>
          <w:lang w:val="hr-HR"/>
        </w:rPr>
        <w:br w:type="page"/>
      </w:r>
    </w:p>
    <w:p w14:paraId="0A365839" w14:textId="43394FFF" w:rsidR="006C48D6" w:rsidRPr="00B12CC0" w:rsidRDefault="005C0F80" w:rsidP="006C4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lastRenderedPageBreak/>
        <w:t>PRIMER</w:t>
      </w:r>
      <w:bookmarkStart w:id="0" w:name="_GoBack"/>
      <w:bookmarkEnd w:id="0"/>
      <w:r w:rsidR="006C48D6" w:rsidRPr="00B12CC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: </w:t>
      </w:r>
      <w:r w:rsidR="000878D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</w:t>
      </w:r>
      <w:r w:rsidR="00067FD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itanja za proveru transakcija</w:t>
      </w:r>
    </w:p>
    <w:p w14:paraId="0A36583A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A36583B" w14:textId="7A0D2257" w:rsidR="006C48D6" w:rsidRPr="00B12CC0" w:rsidRDefault="006C42D3" w:rsidP="006C4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 prodaje ili isporuke robe ili tehnologija od strateškog značaja koje mogu da doprinesu </w:t>
      </w:r>
      <w:r w:rsidR="00CF4EFF">
        <w:rPr>
          <w:rFonts w:ascii="Times New Roman" w:hAnsi="Times New Roman" w:cs="Times New Roman"/>
          <w:sz w:val="24"/>
          <w:szCs w:val="24"/>
          <w:lang w:val="hr-HR"/>
        </w:rPr>
        <w:t>proizvodnji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oružja za masovno uništenje ili vojnim krajnjim namenama, v</w:t>
      </w:r>
      <w:r w:rsidR="00067FDF">
        <w:rPr>
          <w:rFonts w:ascii="Times New Roman" w:hAnsi="Times New Roman" w:cs="Times New Roman"/>
          <w:sz w:val="24"/>
          <w:szCs w:val="24"/>
          <w:lang w:val="hr-HR"/>
        </w:rPr>
        <w:t xml:space="preserve">aše preduzeće trebalo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bi </w:t>
      </w:r>
      <w:r w:rsidR="00067FDF">
        <w:rPr>
          <w:rFonts w:ascii="Times New Roman" w:hAnsi="Times New Roman" w:cs="Times New Roman"/>
          <w:sz w:val="24"/>
          <w:szCs w:val="24"/>
          <w:lang w:val="hr-HR"/>
        </w:rPr>
        <w:t>da potraži odgovore na</w:t>
      </w:r>
      <w:r w:rsidR="00CF4EFF">
        <w:rPr>
          <w:rFonts w:ascii="Times New Roman" w:hAnsi="Times New Roman" w:cs="Times New Roman"/>
          <w:sz w:val="24"/>
          <w:szCs w:val="24"/>
          <w:lang w:val="hr-HR"/>
        </w:rPr>
        <w:t xml:space="preserve"> sledeća</w:t>
      </w:r>
      <w:r w:rsidR="00067FDF">
        <w:rPr>
          <w:rFonts w:ascii="Times New Roman" w:hAnsi="Times New Roman" w:cs="Times New Roman"/>
          <w:sz w:val="24"/>
          <w:szCs w:val="24"/>
          <w:lang w:val="hr-HR"/>
        </w:rPr>
        <w:t xml:space="preserve"> pitanja. </w:t>
      </w:r>
    </w:p>
    <w:p w14:paraId="0A36583C" w14:textId="77777777" w:rsidR="006C48D6" w:rsidRPr="00B12CC0" w:rsidRDefault="006C48D6" w:rsidP="006C4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0A36583D" w14:textId="77777777" w:rsidR="003042F2" w:rsidRPr="00B12CC0" w:rsidRDefault="006C48D6" w:rsidP="006C4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r-HR"/>
        </w:rPr>
      </w:pPr>
      <w:r w:rsidRPr="00B12CC0">
        <w:rPr>
          <w:rFonts w:ascii="Times New Roman" w:hAnsi="Times New Roman" w:cs="Times New Roman"/>
          <w:noProof/>
        </w:rPr>
        <w:drawing>
          <wp:inline distT="0" distB="0" distL="0" distR="0" wp14:anchorId="0A365840" wp14:editId="0A365841">
            <wp:extent cx="5100488" cy="715327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ing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287" cy="71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2F2" w:rsidRPr="00B12CC0" w:rsidSect="0031324E">
      <w:footerReference w:type="default" r:id="rId2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3D8C4" w14:textId="77777777" w:rsidR="0087501C" w:rsidRDefault="0087501C" w:rsidP="006F2B1A">
      <w:pPr>
        <w:spacing w:after="0" w:line="240" w:lineRule="auto"/>
      </w:pPr>
      <w:r>
        <w:separator/>
      </w:r>
    </w:p>
  </w:endnote>
  <w:endnote w:type="continuationSeparator" w:id="0">
    <w:p w14:paraId="18D73DE4" w14:textId="77777777" w:rsidR="0087501C" w:rsidRDefault="0087501C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65846" w14:textId="1DF8FD36" w:rsidR="00067FDF" w:rsidRDefault="00067F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65847" w14:textId="77777777" w:rsidR="00067FDF" w:rsidRDefault="00067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DBCC" w14:textId="77777777" w:rsidR="0087501C" w:rsidRDefault="0087501C" w:rsidP="006F2B1A">
      <w:pPr>
        <w:spacing w:after="0" w:line="240" w:lineRule="auto"/>
      </w:pPr>
      <w:r>
        <w:separator/>
      </w:r>
    </w:p>
  </w:footnote>
  <w:footnote w:type="continuationSeparator" w:id="0">
    <w:p w14:paraId="689AF44A" w14:textId="77777777" w:rsidR="0087501C" w:rsidRDefault="0087501C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446"/>
    <w:multiLevelType w:val="hybridMultilevel"/>
    <w:tmpl w:val="EFFE76DC"/>
    <w:lvl w:ilvl="0" w:tplc="487E78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4D"/>
    <w:multiLevelType w:val="hybridMultilevel"/>
    <w:tmpl w:val="1E0E7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CB1"/>
    <w:multiLevelType w:val="hybridMultilevel"/>
    <w:tmpl w:val="80E0ABF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DAE"/>
    <w:multiLevelType w:val="hybridMultilevel"/>
    <w:tmpl w:val="7D383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C26"/>
    <w:multiLevelType w:val="hybridMultilevel"/>
    <w:tmpl w:val="CDF81F6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3797"/>
    <w:multiLevelType w:val="hybridMultilevel"/>
    <w:tmpl w:val="C0C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B6"/>
    <w:multiLevelType w:val="hybridMultilevel"/>
    <w:tmpl w:val="7ED8B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5C45"/>
    <w:multiLevelType w:val="hybridMultilevel"/>
    <w:tmpl w:val="EC226D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2D"/>
    <w:multiLevelType w:val="hybridMultilevel"/>
    <w:tmpl w:val="4AB2027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542C"/>
    <w:multiLevelType w:val="hybridMultilevel"/>
    <w:tmpl w:val="E0A00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FAE"/>
    <w:multiLevelType w:val="hybridMultilevel"/>
    <w:tmpl w:val="49244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0341"/>
    <w:multiLevelType w:val="hybridMultilevel"/>
    <w:tmpl w:val="FED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5426"/>
    <w:multiLevelType w:val="hybridMultilevel"/>
    <w:tmpl w:val="08AC2FD4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460E9"/>
    <w:multiLevelType w:val="hybridMultilevel"/>
    <w:tmpl w:val="059C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E08"/>
    <w:multiLevelType w:val="hybridMultilevel"/>
    <w:tmpl w:val="048CABAC"/>
    <w:lvl w:ilvl="0" w:tplc="5D0E6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02F"/>
    <w:multiLevelType w:val="hybridMultilevel"/>
    <w:tmpl w:val="13DE6F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B53BD"/>
    <w:multiLevelType w:val="hybridMultilevel"/>
    <w:tmpl w:val="D93C84B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E438D"/>
    <w:multiLevelType w:val="hybridMultilevel"/>
    <w:tmpl w:val="96501B6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9FC"/>
    <w:multiLevelType w:val="hybridMultilevel"/>
    <w:tmpl w:val="A06A9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B72BC"/>
    <w:multiLevelType w:val="hybridMultilevel"/>
    <w:tmpl w:val="3D6E00B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A6B"/>
    <w:multiLevelType w:val="hybridMultilevel"/>
    <w:tmpl w:val="BEF4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9E7"/>
    <w:multiLevelType w:val="hybridMultilevel"/>
    <w:tmpl w:val="C7D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BB8"/>
    <w:multiLevelType w:val="hybridMultilevel"/>
    <w:tmpl w:val="18283B2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BBC"/>
    <w:multiLevelType w:val="hybridMultilevel"/>
    <w:tmpl w:val="67F0DA9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08FD"/>
    <w:multiLevelType w:val="hybridMultilevel"/>
    <w:tmpl w:val="B37AD8FE"/>
    <w:lvl w:ilvl="0" w:tplc="21F0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EB1"/>
    <w:multiLevelType w:val="hybridMultilevel"/>
    <w:tmpl w:val="56989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355"/>
    <w:multiLevelType w:val="hybridMultilevel"/>
    <w:tmpl w:val="34DC6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F38"/>
    <w:multiLevelType w:val="hybridMultilevel"/>
    <w:tmpl w:val="43EE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47ED"/>
    <w:multiLevelType w:val="hybridMultilevel"/>
    <w:tmpl w:val="0E0AD7D2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0770F"/>
    <w:multiLevelType w:val="hybridMultilevel"/>
    <w:tmpl w:val="697E897A"/>
    <w:lvl w:ilvl="0" w:tplc="99468F4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3A5C"/>
    <w:multiLevelType w:val="hybridMultilevel"/>
    <w:tmpl w:val="32C4E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189E"/>
    <w:multiLevelType w:val="hybridMultilevel"/>
    <w:tmpl w:val="53484164"/>
    <w:lvl w:ilvl="0" w:tplc="14CE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B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7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A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0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E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5B6826"/>
    <w:multiLevelType w:val="hybridMultilevel"/>
    <w:tmpl w:val="9FBA0AA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D8"/>
    <w:multiLevelType w:val="hybridMultilevel"/>
    <w:tmpl w:val="0D803DF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76F5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3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24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16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7"/>
  </w:num>
  <w:num w:numId="32">
    <w:abstractNumId w:val="14"/>
  </w:num>
  <w:num w:numId="33">
    <w:abstractNumId w:val="32"/>
  </w:num>
  <w:num w:numId="34">
    <w:abstractNumId w:val="31"/>
  </w:num>
  <w:num w:numId="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8"/>
    <w:rsid w:val="000032D9"/>
    <w:rsid w:val="00020451"/>
    <w:rsid w:val="000303A0"/>
    <w:rsid w:val="000349F8"/>
    <w:rsid w:val="00034B70"/>
    <w:rsid w:val="00067FDF"/>
    <w:rsid w:val="000714A8"/>
    <w:rsid w:val="00072D56"/>
    <w:rsid w:val="000802DC"/>
    <w:rsid w:val="000806A0"/>
    <w:rsid w:val="000878D6"/>
    <w:rsid w:val="00095DC9"/>
    <w:rsid w:val="000B15D6"/>
    <w:rsid w:val="000B234C"/>
    <w:rsid w:val="000B4EEA"/>
    <w:rsid w:val="000D5DAD"/>
    <w:rsid w:val="000D65EC"/>
    <w:rsid w:val="000F4AD6"/>
    <w:rsid w:val="000F55F4"/>
    <w:rsid w:val="000F5B8D"/>
    <w:rsid w:val="001133B5"/>
    <w:rsid w:val="00114F63"/>
    <w:rsid w:val="001166F4"/>
    <w:rsid w:val="0011776E"/>
    <w:rsid w:val="00117D35"/>
    <w:rsid w:val="00122398"/>
    <w:rsid w:val="00127B3A"/>
    <w:rsid w:val="001444E5"/>
    <w:rsid w:val="0015194A"/>
    <w:rsid w:val="00154452"/>
    <w:rsid w:val="001552D6"/>
    <w:rsid w:val="001810E3"/>
    <w:rsid w:val="001855FD"/>
    <w:rsid w:val="001856FC"/>
    <w:rsid w:val="00194A93"/>
    <w:rsid w:val="00195024"/>
    <w:rsid w:val="00197758"/>
    <w:rsid w:val="001A0A1F"/>
    <w:rsid w:val="001A1CB3"/>
    <w:rsid w:val="001A20F2"/>
    <w:rsid w:val="001A2C60"/>
    <w:rsid w:val="001A5F84"/>
    <w:rsid w:val="001C4497"/>
    <w:rsid w:val="001C4914"/>
    <w:rsid w:val="001C65FA"/>
    <w:rsid w:val="001D2A4F"/>
    <w:rsid w:val="001E4945"/>
    <w:rsid w:val="001F2257"/>
    <w:rsid w:val="001F3A9F"/>
    <w:rsid w:val="00200F99"/>
    <w:rsid w:val="00213A1D"/>
    <w:rsid w:val="002211AA"/>
    <w:rsid w:val="0023042F"/>
    <w:rsid w:val="00241F35"/>
    <w:rsid w:val="00253692"/>
    <w:rsid w:val="00260873"/>
    <w:rsid w:val="00265C5A"/>
    <w:rsid w:val="00270C66"/>
    <w:rsid w:val="00282B95"/>
    <w:rsid w:val="00286A1F"/>
    <w:rsid w:val="00291DB2"/>
    <w:rsid w:val="00297CD9"/>
    <w:rsid w:val="002A0B5F"/>
    <w:rsid w:val="002A7433"/>
    <w:rsid w:val="002B41DB"/>
    <w:rsid w:val="002C1981"/>
    <w:rsid w:val="002C426A"/>
    <w:rsid w:val="002D287C"/>
    <w:rsid w:val="002D768D"/>
    <w:rsid w:val="002E3BDB"/>
    <w:rsid w:val="002E4D1E"/>
    <w:rsid w:val="002E7BE4"/>
    <w:rsid w:val="002F065B"/>
    <w:rsid w:val="002F5598"/>
    <w:rsid w:val="002F636D"/>
    <w:rsid w:val="00301156"/>
    <w:rsid w:val="003042F2"/>
    <w:rsid w:val="00304796"/>
    <w:rsid w:val="0030572E"/>
    <w:rsid w:val="003057DA"/>
    <w:rsid w:val="00307BD3"/>
    <w:rsid w:val="00311FD2"/>
    <w:rsid w:val="0031324E"/>
    <w:rsid w:val="003167B1"/>
    <w:rsid w:val="0033604B"/>
    <w:rsid w:val="00343623"/>
    <w:rsid w:val="00343E1B"/>
    <w:rsid w:val="00347BB8"/>
    <w:rsid w:val="0035139B"/>
    <w:rsid w:val="003533D5"/>
    <w:rsid w:val="003743DD"/>
    <w:rsid w:val="00375054"/>
    <w:rsid w:val="00375E4F"/>
    <w:rsid w:val="003853F9"/>
    <w:rsid w:val="003A5185"/>
    <w:rsid w:val="003B308A"/>
    <w:rsid w:val="003B66FB"/>
    <w:rsid w:val="003B7EAA"/>
    <w:rsid w:val="003C2ED2"/>
    <w:rsid w:val="003C5985"/>
    <w:rsid w:val="003D60A4"/>
    <w:rsid w:val="003D6542"/>
    <w:rsid w:val="003F3233"/>
    <w:rsid w:val="00403A9A"/>
    <w:rsid w:val="00406107"/>
    <w:rsid w:val="00410D92"/>
    <w:rsid w:val="0041133F"/>
    <w:rsid w:val="00411981"/>
    <w:rsid w:val="00414687"/>
    <w:rsid w:val="00416216"/>
    <w:rsid w:val="0043251E"/>
    <w:rsid w:val="0044391F"/>
    <w:rsid w:val="00456AF3"/>
    <w:rsid w:val="00473C76"/>
    <w:rsid w:val="00475896"/>
    <w:rsid w:val="004760C9"/>
    <w:rsid w:val="00484787"/>
    <w:rsid w:val="00492C12"/>
    <w:rsid w:val="0049399E"/>
    <w:rsid w:val="004960CB"/>
    <w:rsid w:val="00496326"/>
    <w:rsid w:val="004A0F93"/>
    <w:rsid w:val="004A1469"/>
    <w:rsid w:val="004A2A60"/>
    <w:rsid w:val="004A2DEB"/>
    <w:rsid w:val="004A4C94"/>
    <w:rsid w:val="004B07F5"/>
    <w:rsid w:val="004C0183"/>
    <w:rsid w:val="004D58BB"/>
    <w:rsid w:val="004E40F6"/>
    <w:rsid w:val="004E7A45"/>
    <w:rsid w:val="004F0151"/>
    <w:rsid w:val="004F0A1D"/>
    <w:rsid w:val="004F1136"/>
    <w:rsid w:val="004F1B60"/>
    <w:rsid w:val="00504A80"/>
    <w:rsid w:val="005063B6"/>
    <w:rsid w:val="00513DC8"/>
    <w:rsid w:val="00515AD7"/>
    <w:rsid w:val="0052050C"/>
    <w:rsid w:val="00524BE4"/>
    <w:rsid w:val="005322A2"/>
    <w:rsid w:val="005421BC"/>
    <w:rsid w:val="0054349E"/>
    <w:rsid w:val="0057681C"/>
    <w:rsid w:val="00582684"/>
    <w:rsid w:val="00583045"/>
    <w:rsid w:val="00587F56"/>
    <w:rsid w:val="0059119F"/>
    <w:rsid w:val="005A07D0"/>
    <w:rsid w:val="005A6C52"/>
    <w:rsid w:val="005A7BA2"/>
    <w:rsid w:val="005B0315"/>
    <w:rsid w:val="005B65A8"/>
    <w:rsid w:val="005B7979"/>
    <w:rsid w:val="005C0F80"/>
    <w:rsid w:val="005C356A"/>
    <w:rsid w:val="005D39EF"/>
    <w:rsid w:val="005D461F"/>
    <w:rsid w:val="005D655D"/>
    <w:rsid w:val="005E1B19"/>
    <w:rsid w:val="005E7468"/>
    <w:rsid w:val="006161AC"/>
    <w:rsid w:val="006272BD"/>
    <w:rsid w:val="006349E2"/>
    <w:rsid w:val="00645EDE"/>
    <w:rsid w:val="00647229"/>
    <w:rsid w:val="006571FF"/>
    <w:rsid w:val="00664951"/>
    <w:rsid w:val="0067588A"/>
    <w:rsid w:val="00676351"/>
    <w:rsid w:val="00690E63"/>
    <w:rsid w:val="00697D98"/>
    <w:rsid w:val="006A4384"/>
    <w:rsid w:val="006B016A"/>
    <w:rsid w:val="006B61EC"/>
    <w:rsid w:val="006C42D3"/>
    <w:rsid w:val="006C48D6"/>
    <w:rsid w:val="006E2032"/>
    <w:rsid w:val="006E4525"/>
    <w:rsid w:val="006F2B1A"/>
    <w:rsid w:val="00713477"/>
    <w:rsid w:val="00715F4A"/>
    <w:rsid w:val="00722855"/>
    <w:rsid w:val="007317E8"/>
    <w:rsid w:val="00736281"/>
    <w:rsid w:val="00746043"/>
    <w:rsid w:val="007509FF"/>
    <w:rsid w:val="007541C8"/>
    <w:rsid w:val="00757C92"/>
    <w:rsid w:val="007601CB"/>
    <w:rsid w:val="007657BE"/>
    <w:rsid w:val="00772F57"/>
    <w:rsid w:val="00775FB4"/>
    <w:rsid w:val="00775FDF"/>
    <w:rsid w:val="00781793"/>
    <w:rsid w:val="007821BE"/>
    <w:rsid w:val="0078424D"/>
    <w:rsid w:val="0079378F"/>
    <w:rsid w:val="00794CD7"/>
    <w:rsid w:val="00797581"/>
    <w:rsid w:val="007A412C"/>
    <w:rsid w:val="007A42BE"/>
    <w:rsid w:val="007A4909"/>
    <w:rsid w:val="007A607E"/>
    <w:rsid w:val="007B715C"/>
    <w:rsid w:val="007D11CF"/>
    <w:rsid w:val="007D1D0F"/>
    <w:rsid w:val="007D350A"/>
    <w:rsid w:val="007E19EB"/>
    <w:rsid w:val="007E27DE"/>
    <w:rsid w:val="007E416F"/>
    <w:rsid w:val="007E44BA"/>
    <w:rsid w:val="007F0150"/>
    <w:rsid w:val="007F27BA"/>
    <w:rsid w:val="007F4EEA"/>
    <w:rsid w:val="00804B51"/>
    <w:rsid w:val="00810B11"/>
    <w:rsid w:val="008138A0"/>
    <w:rsid w:val="00814A9C"/>
    <w:rsid w:val="008210E7"/>
    <w:rsid w:val="008218F3"/>
    <w:rsid w:val="00827F42"/>
    <w:rsid w:val="00846BF1"/>
    <w:rsid w:val="00852626"/>
    <w:rsid w:val="00852B00"/>
    <w:rsid w:val="0085459E"/>
    <w:rsid w:val="00873E99"/>
    <w:rsid w:val="00874B1F"/>
    <w:rsid w:val="0087501C"/>
    <w:rsid w:val="008B05B5"/>
    <w:rsid w:val="008B583D"/>
    <w:rsid w:val="008C3DB3"/>
    <w:rsid w:val="008D2D33"/>
    <w:rsid w:val="008E0BBC"/>
    <w:rsid w:val="008E34B3"/>
    <w:rsid w:val="008F6B4A"/>
    <w:rsid w:val="008F6E75"/>
    <w:rsid w:val="009001D5"/>
    <w:rsid w:val="00901656"/>
    <w:rsid w:val="0090332B"/>
    <w:rsid w:val="009131DF"/>
    <w:rsid w:val="009178EE"/>
    <w:rsid w:val="00922A48"/>
    <w:rsid w:val="00925075"/>
    <w:rsid w:val="00930698"/>
    <w:rsid w:val="009407AF"/>
    <w:rsid w:val="00951F86"/>
    <w:rsid w:val="00954A0C"/>
    <w:rsid w:val="00960508"/>
    <w:rsid w:val="009620D5"/>
    <w:rsid w:val="0097748D"/>
    <w:rsid w:val="00995BA8"/>
    <w:rsid w:val="00997453"/>
    <w:rsid w:val="009A5A2F"/>
    <w:rsid w:val="009A706B"/>
    <w:rsid w:val="009B202D"/>
    <w:rsid w:val="009B5282"/>
    <w:rsid w:val="009D5CFB"/>
    <w:rsid w:val="009E20BF"/>
    <w:rsid w:val="009E40C1"/>
    <w:rsid w:val="009F1147"/>
    <w:rsid w:val="009F384C"/>
    <w:rsid w:val="009F444B"/>
    <w:rsid w:val="009F7904"/>
    <w:rsid w:val="00A0383C"/>
    <w:rsid w:val="00A03BE7"/>
    <w:rsid w:val="00A31F47"/>
    <w:rsid w:val="00A329BA"/>
    <w:rsid w:val="00A45518"/>
    <w:rsid w:val="00A50800"/>
    <w:rsid w:val="00A51599"/>
    <w:rsid w:val="00A7096F"/>
    <w:rsid w:val="00A77751"/>
    <w:rsid w:val="00A81EF2"/>
    <w:rsid w:val="00A87FC1"/>
    <w:rsid w:val="00A90C56"/>
    <w:rsid w:val="00A922E0"/>
    <w:rsid w:val="00AA6B46"/>
    <w:rsid w:val="00AB1E29"/>
    <w:rsid w:val="00AB2743"/>
    <w:rsid w:val="00AB2A67"/>
    <w:rsid w:val="00AB31D4"/>
    <w:rsid w:val="00AC1C76"/>
    <w:rsid w:val="00AC2A6A"/>
    <w:rsid w:val="00AC5EFB"/>
    <w:rsid w:val="00AC7DE7"/>
    <w:rsid w:val="00AD4269"/>
    <w:rsid w:val="00AE1EA1"/>
    <w:rsid w:val="00AE2514"/>
    <w:rsid w:val="00AF3711"/>
    <w:rsid w:val="00B05BDD"/>
    <w:rsid w:val="00B12CC0"/>
    <w:rsid w:val="00B14E02"/>
    <w:rsid w:val="00B16248"/>
    <w:rsid w:val="00B16E8C"/>
    <w:rsid w:val="00B22B96"/>
    <w:rsid w:val="00B26174"/>
    <w:rsid w:val="00B40142"/>
    <w:rsid w:val="00B402E7"/>
    <w:rsid w:val="00B42BD2"/>
    <w:rsid w:val="00B46CF6"/>
    <w:rsid w:val="00B5624B"/>
    <w:rsid w:val="00B66F60"/>
    <w:rsid w:val="00B72E88"/>
    <w:rsid w:val="00B72F96"/>
    <w:rsid w:val="00B77DA8"/>
    <w:rsid w:val="00B82045"/>
    <w:rsid w:val="00B8593A"/>
    <w:rsid w:val="00B94CA7"/>
    <w:rsid w:val="00B97CAF"/>
    <w:rsid w:val="00BA70C5"/>
    <w:rsid w:val="00BB07EB"/>
    <w:rsid w:val="00BB5E6E"/>
    <w:rsid w:val="00BC0173"/>
    <w:rsid w:val="00BD28D4"/>
    <w:rsid w:val="00BD2D36"/>
    <w:rsid w:val="00BE31D8"/>
    <w:rsid w:val="00BE4A77"/>
    <w:rsid w:val="00BE4D63"/>
    <w:rsid w:val="00BE5A80"/>
    <w:rsid w:val="00BF1308"/>
    <w:rsid w:val="00BF5C0A"/>
    <w:rsid w:val="00C04DA9"/>
    <w:rsid w:val="00C0706C"/>
    <w:rsid w:val="00C139F9"/>
    <w:rsid w:val="00C17374"/>
    <w:rsid w:val="00C222B5"/>
    <w:rsid w:val="00C50C36"/>
    <w:rsid w:val="00C533CE"/>
    <w:rsid w:val="00C53496"/>
    <w:rsid w:val="00C5607E"/>
    <w:rsid w:val="00C70FC9"/>
    <w:rsid w:val="00C86FDC"/>
    <w:rsid w:val="00C91E15"/>
    <w:rsid w:val="00C91F32"/>
    <w:rsid w:val="00C97778"/>
    <w:rsid w:val="00C97E17"/>
    <w:rsid w:val="00CA3FF1"/>
    <w:rsid w:val="00CA7179"/>
    <w:rsid w:val="00CB5279"/>
    <w:rsid w:val="00CD5067"/>
    <w:rsid w:val="00CE4BCE"/>
    <w:rsid w:val="00CF1419"/>
    <w:rsid w:val="00CF2C26"/>
    <w:rsid w:val="00CF4EFF"/>
    <w:rsid w:val="00D01B49"/>
    <w:rsid w:val="00D13D95"/>
    <w:rsid w:val="00D14845"/>
    <w:rsid w:val="00D219C1"/>
    <w:rsid w:val="00D22777"/>
    <w:rsid w:val="00D2344A"/>
    <w:rsid w:val="00D2483C"/>
    <w:rsid w:val="00D27F65"/>
    <w:rsid w:val="00D34E8C"/>
    <w:rsid w:val="00D42BAB"/>
    <w:rsid w:val="00D44EB9"/>
    <w:rsid w:val="00D644B9"/>
    <w:rsid w:val="00D6553A"/>
    <w:rsid w:val="00D6614F"/>
    <w:rsid w:val="00D76291"/>
    <w:rsid w:val="00D80F4A"/>
    <w:rsid w:val="00D86602"/>
    <w:rsid w:val="00D86D72"/>
    <w:rsid w:val="00D87D59"/>
    <w:rsid w:val="00D93DC5"/>
    <w:rsid w:val="00DA0200"/>
    <w:rsid w:val="00DB790F"/>
    <w:rsid w:val="00DC0526"/>
    <w:rsid w:val="00DC5076"/>
    <w:rsid w:val="00DD0AE7"/>
    <w:rsid w:val="00DD1E3D"/>
    <w:rsid w:val="00DE476E"/>
    <w:rsid w:val="00DF0066"/>
    <w:rsid w:val="00DF242C"/>
    <w:rsid w:val="00DF4F56"/>
    <w:rsid w:val="00E0359C"/>
    <w:rsid w:val="00E037A9"/>
    <w:rsid w:val="00E054C1"/>
    <w:rsid w:val="00E068FE"/>
    <w:rsid w:val="00E10BE7"/>
    <w:rsid w:val="00E11BE6"/>
    <w:rsid w:val="00E25520"/>
    <w:rsid w:val="00E31E9A"/>
    <w:rsid w:val="00E328BB"/>
    <w:rsid w:val="00E41CDF"/>
    <w:rsid w:val="00E64517"/>
    <w:rsid w:val="00E669E3"/>
    <w:rsid w:val="00E81F75"/>
    <w:rsid w:val="00E8223C"/>
    <w:rsid w:val="00E84A2C"/>
    <w:rsid w:val="00EA543A"/>
    <w:rsid w:val="00EA5D77"/>
    <w:rsid w:val="00EB0BEC"/>
    <w:rsid w:val="00EB3CA9"/>
    <w:rsid w:val="00EC0447"/>
    <w:rsid w:val="00EC34F5"/>
    <w:rsid w:val="00ED61BB"/>
    <w:rsid w:val="00ED6968"/>
    <w:rsid w:val="00EF6823"/>
    <w:rsid w:val="00EF7411"/>
    <w:rsid w:val="00F14672"/>
    <w:rsid w:val="00F20CB3"/>
    <w:rsid w:val="00F260C1"/>
    <w:rsid w:val="00F50753"/>
    <w:rsid w:val="00F5377B"/>
    <w:rsid w:val="00F54254"/>
    <w:rsid w:val="00F664B1"/>
    <w:rsid w:val="00F75959"/>
    <w:rsid w:val="00F760D8"/>
    <w:rsid w:val="00F84D46"/>
    <w:rsid w:val="00F95662"/>
    <w:rsid w:val="00FA1036"/>
    <w:rsid w:val="00FA1BF4"/>
    <w:rsid w:val="00FB7335"/>
    <w:rsid w:val="00FC0138"/>
    <w:rsid w:val="00FC1D23"/>
    <w:rsid w:val="00FC6D9C"/>
    <w:rsid w:val="00FD03B0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65814"/>
  <w15:docId w15:val="{9FB13C15-2547-4606-BE91-47986DD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5DAD"/>
    <w:pPr>
      <w:spacing w:after="0" w:line="240" w:lineRule="auto"/>
    </w:pPr>
  </w:style>
  <w:style w:type="paragraph" w:customStyle="1" w:styleId="Default">
    <w:name w:val="Default"/>
    <w:rsid w:val="0037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75E4F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19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9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lst.rit.albany.edu/" TargetMode="External"/><Relationship Id="rId18" Type="http://schemas.openxmlformats.org/officeDocument/2006/relationships/hyperlink" Target="http://icp.rit.albany.edu/files/5A_QUESTIONNAIRE_List%20of%20red%20flag%20indicators.doc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icp.rit.albany.edu/index.php/developing-an-icp-manual" TargetMode="External"/><Relationship Id="rId17" Type="http://schemas.openxmlformats.org/officeDocument/2006/relationships/hyperlink" Target="https://www.bis.doc.gov/index.php/forms-documents/doc_download/625-best-pract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s.doc.gov/index.php/forms-documents/compliance-training/export-management-compliance/620-new-freight-forwarder-guidance" TargetMode="External"/><Relationship Id="rId20" Type="http://schemas.openxmlformats.org/officeDocument/2006/relationships/hyperlink" Target="https://www.gov.uk/government/uploads/system/uploads/attachment_data/file/341998/10-668-codepractice-complianc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tate.gov/strategictrade/redflags/index.ht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onproliferation.org/education/courses/illicit-procurement-and-divers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pst.rit.albany.ed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E81020-672A-49C1-B214-A82EF467CBAD}"/>
</file>

<file path=customXml/itemProps2.xml><?xml version="1.0" encoding="utf-8"?>
<ds:datastoreItem xmlns:ds="http://schemas.openxmlformats.org/officeDocument/2006/customXml" ds:itemID="{CF817044-B8B4-48E2-99CC-513929F7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4040C-432D-437A-B03F-E67BE04B65B3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B6743B1D-BBF9-4F9D-B044-4EDAA86D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4</cp:revision>
  <dcterms:created xsi:type="dcterms:W3CDTF">2019-11-17T20:00:00Z</dcterms:created>
  <dcterms:modified xsi:type="dcterms:W3CDTF">2019-11-17T20:04:00Z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