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7F58" w14:textId="04CA662D" w:rsidR="00051E42" w:rsidRPr="00402CF1" w:rsidRDefault="00402CF1" w:rsidP="00051E42">
      <w:pPr>
        <w:pStyle w:val="ListParagraph"/>
        <w:tabs>
          <w:tab w:val="center" w:pos="4680"/>
        </w:tabs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402CF1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Uvod u </w:t>
      </w:r>
      <w:proofErr w:type="spellStart"/>
      <w:r w:rsidR="00B77A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Konvenciju</w:t>
      </w:r>
      <w:proofErr w:type="spellEnd"/>
      <w:r w:rsidR="00B77AAD" w:rsidRPr="00B77A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o </w:t>
      </w:r>
      <w:proofErr w:type="spellStart"/>
      <w:r w:rsidR="00B77AAD" w:rsidRPr="00B77A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zabrani</w:t>
      </w:r>
      <w:proofErr w:type="spellEnd"/>
      <w:r w:rsidR="00B77AAD" w:rsidRPr="00B77A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77AAD" w:rsidRPr="00B77A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razvoja</w:t>
      </w:r>
      <w:proofErr w:type="spellEnd"/>
      <w:r w:rsidR="00B77AAD" w:rsidRPr="00B77A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="00B77AAD" w:rsidRPr="00B77A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proizvodnje</w:t>
      </w:r>
      <w:proofErr w:type="spellEnd"/>
      <w:r w:rsidR="00B77AAD" w:rsidRPr="00B77A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="00B77AAD" w:rsidRPr="00B77A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skladištenja</w:t>
      </w:r>
      <w:proofErr w:type="spellEnd"/>
      <w:r w:rsidR="00B77AAD" w:rsidRPr="00B77A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77AAD" w:rsidRPr="00B77A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</w:t>
      </w:r>
      <w:proofErr w:type="spellEnd"/>
      <w:r w:rsidR="00B77AAD" w:rsidRPr="00B77A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77AAD" w:rsidRPr="00B77A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upotrebe</w:t>
      </w:r>
      <w:proofErr w:type="spellEnd"/>
      <w:r w:rsidR="00B77AAD" w:rsidRPr="00B77A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77AAD" w:rsidRPr="00B77A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hemijskog</w:t>
      </w:r>
      <w:proofErr w:type="spellEnd"/>
      <w:r w:rsidR="00B77AAD" w:rsidRPr="00B77A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77AAD" w:rsidRPr="00B77A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oružja</w:t>
      </w:r>
      <w:proofErr w:type="spellEnd"/>
      <w:r w:rsidR="00B77AAD" w:rsidRPr="00B77A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77AAD" w:rsidRPr="00B77A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</w:t>
      </w:r>
      <w:proofErr w:type="spellEnd"/>
      <w:r w:rsidR="00B77AAD" w:rsidRPr="00B77A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o </w:t>
      </w:r>
      <w:proofErr w:type="spellStart"/>
      <w:r w:rsidR="00B77AAD" w:rsidRPr="00B77A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njegovom</w:t>
      </w:r>
      <w:proofErr w:type="spellEnd"/>
      <w:r w:rsidR="00B77AAD" w:rsidRPr="00B77A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77AAD" w:rsidRPr="00B77A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uništavanju</w:t>
      </w:r>
      <w:proofErr w:type="spellEnd"/>
      <w:r w:rsidR="00B77AAD" w:rsidRPr="00402CF1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="00B77AAD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(</w:t>
      </w:r>
      <w:r w:rsidRPr="00402CF1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Konvenciju o hemijskom oružju </w:t>
      </w:r>
      <w:r w:rsidR="00051E42" w:rsidRPr="00402CF1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(CWC)</w:t>
      </w:r>
      <w:r w:rsidR="00B77AAD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)</w:t>
      </w:r>
    </w:p>
    <w:p w14:paraId="61EA1906" w14:textId="69C05430" w:rsidR="00051E42" w:rsidRPr="00402CF1" w:rsidRDefault="00402CF1" w:rsidP="00051E42">
      <w:pPr>
        <w:pStyle w:val="ListParagraph"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sr-Latn-RS"/>
        </w:rPr>
      </w:pPr>
      <w:r w:rsidRPr="00402CF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sr-Latn-RS"/>
        </w:rPr>
        <w:t>Osnovni pod</w:t>
      </w:r>
      <w:r w:rsidR="00F52F5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sr-Latn-RS"/>
        </w:rPr>
        <w:t>a</w:t>
      </w:r>
      <w:r w:rsidRPr="00402CF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sr-Latn-RS"/>
        </w:rPr>
        <w:t xml:space="preserve">ci </w:t>
      </w:r>
    </w:p>
    <w:p w14:paraId="6CCEF503" w14:textId="20D98872" w:rsidR="00051E42" w:rsidRPr="00402CF1" w:rsidRDefault="00402CF1" w:rsidP="00051E42">
      <w:pPr>
        <w:pStyle w:val="ListParagraph"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</w:pPr>
      <w:r w:rsidRPr="00402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>Konvencija o hemijskom oružju</w:t>
      </w:r>
      <w:r w:rsidR="00051E42" w:rsidRPr="00402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 xml:space="preserve"> (CWC) </w:t>
      </w:r>
      <w:r w:rsidR="00B77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>je međunarodni sporazum o kontroli, razoružavanju</w:t>
      </w:r>
      <w:r w:rsidRPr="00402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 xml:space="preserve"> i sprečavanj</w:t>
      </w:r>
      <w:r w:rsidR="00B77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>u</w:t>
      </w:r>
      <w:r w:rsidRPr="00402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 xml:space="preserve"> širenja naoružanja koji se odnosi na preduzeća koja posluju u </w:t>
      </w:r>
      <w:r w:rsidR="00000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 xml:space="preserve">oblasti </w:t>
      </w:r>
      <w:r w:rsidRPr="00402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>proizvodnj</w:t>
      </w:r>
      <w:r w:rsidR="00000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>e</w:t>
      </w:r>
      <w:r w:rsidRPr="00402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 xml:space="preserve">, </w:t>
      </w:r>
      <w:r w:rsidR="00713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>pre</w:t>
      </w:r>
      <w:r w:rsidR="00000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>rade</w:t>
      </w:r>
      <w:r w:rsidRPr="00402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 xml:space="preserve">, </w:t>
      </w:r>
      <w:r w:rsidR="00000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>korišćenja</w:t>
      </w:r>
      <w:r w:rsidRPr="00402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>, uvoz</w:t>
      </w:r>
      <w:r w:rsidR="00000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>a</w:t>
      </w:r>
      <w:r w:rsidRPr="00402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 xml:space="preserve"> i/ili izvoz</w:t>
      </w:r>
      <w:r w:rsidR="00000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>a</w:t>
      </w:r>
      <w:r w:rsidRPr="00402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 xml:space="preserve"> čitavog niza komercijalnih hemikalija i povezanih prekursora. Konvencija je stupila na snagu 29. aprila 1997. godine</w:t>
      </w:r>
      <w:r w:rsidR="00000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>.</w:t>
      </w:r>
      <w:r w:rsidRPr="00402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 xml:space="preserve"> </w:t>
      </w:r>
      <w:r w:rsidR="00051E42" w:rsidRPr="00402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>[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sr-Latn-RS"/>
        </w:rPr>
        <w:t>Uneti naziv vaše zemlje</w:t>
      </w:r>
      <w:r w:rsidR="00051E42" w:rsidRPr="00402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 xml:space="preserve">] </w:t>
      </w:r>
      <w:r w:rsidR="00F52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 xml:space="preserve">je ratifikacijom </w:t>
      </w:r>
      <w:r w:rsidR="00F52F5B" w:rsidRPr="00402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>[</w:t>
      </w:r>
      <w:r w:rsidR="00F52F5B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sr-Latn-RS"/>
        </w:rPr>
        <w:t>uneti datum ratifikacije Konvencije</w:t>
      </w:r>
      <w:r w:rsidR="00F52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 xml:space="preserve">]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 xml:space="preserve">postala država potpisnica </w:t>
      </w:r>
      <w:r w:rsidR="00F52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>Konvencije o hemijskom oružju (CWC).</w:t>
      </w:r>
    </w:p>
    <w:p w14:paraId="5A9A5B44" w14:textId="109586CC" w:rsidR="00051E42" w:rsidRPr="00402CF1" w:rsidRDefault="00B77AAD" w:rsidP="00051E42">
      <w:pPr>
        <w:pStyle w:val="ListParagraph"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Sve d</w:t>
      </w:r>
      <w:r w:rsidR="00402CF1">
        <w:rPr>
          <w:rFonts w:ascii="Times New Roman" w:hAnsi="Times New Roman" w:cs="Times New Roman"/>
          <w:b/>
          <w:sz w:val="24"/>
          <w:szCs w:val="24"/>
          <w:lang w:val="sr-Latn-RS"/>
        </w:rPr>
        <w:t>ržave</w:t>
      </w:r>
      <w:r w:rsidR="00051E42" w:rsidRPr="00402CF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402CF1">
        <w:rPr>
          <w:rFonts w:ascii="Times New Roman" w:hAnsi="Times New Roman" w:cs="Times New Roman"/>
          <w:b/>
          <w:sz w:val="24"/>
          <w:szCs w:val="24"/>
          <w:lang w:val="sr-Latn-RS"/>
        </w:rPr>
        <w:t>potpisnice Konvenci</w:t>
      </w:r>
      <w:r w:rsidR="0000054A">
        <w:rPr>
          <w:rFonts w:ascii="Times New Roman" w:hAnsi="Times New Roman" w:cs="Times New Roman"/>
          <w:b/>
          <w:sz w:val="24"/>
          <w:szCs w:val="24"/>
          <w:lang w:val="sr-Latn-RS"/>
        </w:rPr>
        <w:t>je dužne su da uspostave ili im</w:t>
      </w:r>
      <w:r w:rsidR="00402CF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enuju Nacionalno telo ili NA </w:t>
      </w:r>
      <w:r w:rsidR="00402CF1">
        <w:rPr>
          <w:rFonts w:ascii="Times New Roman" w:hAnsi="Times New Roman" w:cs="Times New Roman"/>
          <w:sz w:val="24"/>
          <w:szCs w:val="24"/>
          <w:lang w:val="sr-Latn-RS"/>
        </w:rPr>
        <w:t xml:space="preserve">(CWC), državni organ </w:t>
      </w:r>
      <w:r w:rsidR="0000054A">
        <w:rPr>
          <w:rFonts w:ascii="Times New Roman" w:hAnsi="Times New Roman" w:cs="Times New Roman"/>
          <w:sz w:val="24"/>
          <w:szCs w:val="24"/>
          <w:lang w:val="sr-Latn-RS"/>
        </w:rPr>
        <w:t xml:space="preserve">koji je na nacionalnom nivou unutar svake zemlje </w:t>
      </w:r>
      <w:r w:rsidR="00402CF1">
        <w:rPr>
          <w:rFonts w:ascii="Times New Roman" w:hAnsi="Times New Roman" w:cs="Times New Roman"/>
          <w:sz w:val="24"/>
          <w:szCs w:val="24"/>
          <w:lang w:val="sr-Latn-RS"/>
        </w:rPr>
        <w:t xml:space="preserve">odgovoran za implementaciju Konvencije o hemijskom oružju (CWC). Nacionalno telo </w:t>
      </w:r>
      <w:r w:rsidR="0000054A">
        <w:rPr>
          <w:rFonts w:ascii="Times New Roman" w:hAnsi="Times New Roman" w:cs="Times New Roman"/>
          <w:sz w:val="24"/>
          <w:szCs w:val="24"/>
          <w:lang w:val="sr-Latn-RS"/>
        </w:rPr>
        <w:t xml:space="preserve">za implementaciju Konvencije o hemijskoj oružju </w:t>
      </w:r>
      <w:r w:rsidR="00F52F5B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051E42" w:rsidRPr="00402CF1">
        <w:rPr>
          <w:rFonts w:ascii="Times New Roman" w:hAnsi="Times New Roman" w:cs="Times New Roman"/>
          <w:sz w:val="24"/>
          <w:szCs w:val="24"/>
          <w:lang w:val="sr-Latn-RS"/>
        </w:rPr>
        <w:t xml:space="preserve"> [</w:t>
      </w:r>
      <w:r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une</w:t>
      </w:r>
      <w:r w:rsidR="00402CF1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t</w:t>
      </w:r>
      <w:r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i</w:t>
      </w:r>
      <w:r w:rsidR="00402CF1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 xml:space="preserve"> naziv vaše zemlje</w:t>
      </w:r>
      <w:r w:rsidR="00051E42" w:rsidRPr="00402CF1">
        <w:rPr>
          <w:rFonts w:ascii="Times New Roman" w:hAnsi="Times New Roman" w:cs="Times New Roman"/>
          <w:sz w:val="24"/>
          <w:szCs w:val="24"/>
          <w:lang w:val="sr-Latn-RS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sr-Latn-RS"/>
        </w:rPr>
        <w:t>nalazi se</w:t>
      </w:r>
      <w:r w:rsidR="00402CF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0054A">
        <w:rPr>
          <w:rFonts w:ascii="Times New Roman" w:hAnsi="Times New Roman" w:cs="Times New Roman"/>
          <w:sz w:val="24"/>
          <w:szCs w:val="24"/>
          <w:lang w:val="sr-Latn-RS"/>
        </w:rPr>
        <w:t>u okviru</w:t>
      </w:r>
      <w:r w:rsidR="00051E42" w:rsidRPr="00402CF1">
        <w:rPr>
          <w:rFonts w:ascii="Times New Roman" w:hAnsi="Times New Roman" w:cs="Times New Roman"/>
          <w:sz w:val="24"/>
          <w:szCs w:val="24"/>
          <w:lang w:val="sr-Latn-RS"/>
        </w:rPr>
        <w:t xml:space="preserve"> [</w:t>
      </w:r>
      <w:r w:rsidR="00402CF1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unet</w:t>
      </w:r>
      <w:r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i</w:t>
      </w:r>
      <w:r w:rsidR="00402CF1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 xml:space="preserve"> </w:t>
      </w:r>
      <w:r w:rsidR="00F52F5B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naziv</w:t>
      </w:r>
      <w:r w:rsidR="00402CF1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 xml:space="preserve"> agencije ili institucije koja u vašoj zemlji figuriše kao Nacionalno telo </w:t>
      </w:r>
      <w:r w:rsidR="00051E42" w:rsidRPr="00402CF1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(CWC)</w:t>
      </w:r>
      <w:r w:rsidR="00051E42" w:rsidRPr="00402CF1">
        <w:rPr>
          <w:rFonts w:ascii="Times New Roman" w:hAnsi="Times New Roman" w:cs="Times New Roman"/>
          <w:sz w:val="24"/>
          <w:szCs w:val="24"/>
          <w:lang w:val="sr-Latn-RS"/>
        </w:rPr>
        <w:t>].</w:t>
      </w:r>
    </w:p>
    <w:p w14:paraId="6EAC1E2F" w14:textId="00146FF9" w:rsidR="00051E42" w:rsidRPr="00402CF1" w:rsidRDefault="00402CF1" w:rsidP="00051E42">
      <w:pPr>
        <w:pStyle w:val="ListParagraph"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>Pregled hemikalija obuhvaćenih Konvencijom o hemijskom oružju (CWC)</w:t>
      </w:r>
    </w:p>
    <w:p w14:paraId="5C0EF326" w14:textId="34AB7765" w:rsidR="00051E42" w:rsidRPr="00402CF1" w:rsidRDefault="00402CF1" w:rsidP="0005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Konvencija obuhvata tri liste ili „</w:t>
      </w:r>
      <w:r w:rsidR="00FA3E5C">
        <w:rPr>
          <w:rFonts w:ascii="Times New Roman" w:eastAsia="Times New Roman" w:hAnsi="Times New Roman" w:cs="Times New Roman"/>
          <w:sz w:val="24"/>
          <w:szCs w:val="24"/>
          <w:lang w:val="sr-Latn-RS"/>
        </w:rPr>
        <w:t>spiska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“ toksičnih hemikalija i njihovih prekursora koj</w:t>
      </w:r>
      <w:r w:rsidR="00F52F5B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imaju legitimn</w:t>
      </w:r>
      <w:r w:rsidR="00FA3E5C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upotre</w:t>
      </w:r>
      <w:r w:rsidR="0080375F">
        <w:rPr>
          <w:rFonts w:ascii="Times New Roman" w:eastAsia="Times New Roman" w:hAnsi="Times New Roman" w:cs="Times New Roman"/>
          <w:sz w:val="24"/>
          <w:szCs w:val="24"/>
          <w:lang w:val="sr-Latn-RS"/>
        </w:rPr>
        <w:t>b</w:t>
      </w:r>
      <w:r w:rsidR="00FA3E5C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u medicinske, komercijalne i industrijske svrhe, </w:t>
      </w:r>
      <w:r w:rsidR="00713C1D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="008037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koj</w:t>
      </w:r>
      <w:r w:rsidR="00F52F5B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8037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se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istovremeno mogu koristiti i kao agensi </w:t>
      </w:r>
      <w:r w:rsidR="00770FC3">
        <w:rPr>
          <w:rFonts w:ascii="Times New Roman" w:eastAsia="Times New Roman" w:hAnsi="Times New Roman" w:cs="Times New Roman"/>
          <w:sz w:val="24"/>
          <w:szCs w:val="24"/>
          <w:lang w:val="sr-Latn-RS"/>
        </w:rPr>
        <w:t>ili prekursori za hemijsko oružj</w:t>
      </w:r>
      <w:r w:rsidR="00FA3E5C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 w:rsidR="008037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(CW)</w:t>
      </w:r>
      <w:r w:rsidR="00770FC3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051E42" w:rsidRPr="00402CF1">
        <w:rPr>
          <w:rStyle w:val="EndnoteReference"/>
          <w:rFonts w:ascii="Times New Roman" w:eastAsia="Times New Roman" w:hAnsi="Times New Roman" w:cs="Times New Roman"/>
          <w:sz w:val="24"/>
          <w:szCs w:val="24"/>
          <w:lang w:val="sr-Latn-RS"/>
        </w:rPr>
        <w:endnoteReference w:id="1"/>
      </w:r>
      <w:r w:rsidR="00051E42" w:rsidRPr="00402CF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Hemikalije obuhvaćene Konvencijom o hemijskom oružju (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CWC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 su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(na osnovu njihove moguće upotrebe u </w:t>
      </w:r>
      <w:r w:rsidR="00FA3E5C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proizvodnji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hemijskog oružja) podeljene u </w:t>
      </w:r>
      <w:r w:rsidR="00FA3E5C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sledeće </w:t>
      </w:r>
      <w:r w:rsidR="00F52F5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tri 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liste</w:t>
      </w:r>
      <w:r w:rsidR="00FA3E5C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:</w:t>
      </w:r>
      <w:r w:rsidR="00F52F5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52F03F0E" w14:textId="656E8404" w:rsidR="00051E42" w:rsidRPr="00402CF1" w:rsidRDefault="008277E2" w:rsidP="00051E42">
      <w:pPr>
        <w:pStyle w:val="ListParagraph"/>
        <w:spacing w:before="24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hyperlink r:id="rId10" w:history="1">
        <w:r w:rsidR="00770FC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sr-Latn-RS"/>
          </w:rPr>
          <w:t>Lista</w:t>
        </w:r>
        <w:r w:rsidR="00051E42" w:rsidRPr="00402CF1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sr-Latn-RS"/>
          </w:rPr>
          <w:t xml:space="preserve"> 1</w:t>
        </w:r>
      </w:hyperlink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65AFE2E3" w14:textId="37C10833" w:rsidR="00051E42" w:rsidRPr="00402CF1" w:rsidRDefault="00FA3E5C" w:rsidP="00051E42">
      <w:pPr>
        <w:pStyle w:val="ListParagraph"/>
        <w:numPr>
          <w:ilvl w:val="0"/>
          <w:numId w:val="3"/>
        </w:numPr>
        <w:spacing w:before="120" w:after="12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buhvata poznate </w:t>
      </w:r>
      <w:r w:rsidR="00D546EA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hemijske 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agense i njihove neposredne prekursore</w:t>
      </w:r>
      <w:r w:rsidR="00D546EA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;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27A00066" w14:textId="1CE03CA7" w:rsidR="00051E42" w:rsidRPr="00402CF1" w:rsidRDefault="00D546EA" w:rsidP="00051E42">
      <w:pPr>
        <w:pStyle w:val="ListParagraph"/>
        <w:numPr>
          <w:ilvl w:val="0"/>
          <w:numId w:val="3"/>
        </w:numPr>
        <w:spacing w:before="120" w:after="12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H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emikalije koje nemaju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odnosno imaju vrlo ograničene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legitimne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namen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e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u industrijske i civilne svrhe);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403C0C0A" w14:textId="6FD92221" w:rsidR="00051E42" w:rsidRPr="00402CF1" w:rsidRDefault="00D546EA" w:rsidP="00051E42">
      <w:pPr>
        <w:pStyle w:val="ListParagraph"/>
        <w:numPr>
          <w:ilvl w:val="0"/>
          <w:numId w:val="3"/>
        </w:numPr>
        <w:spacing w:before="120" w:after="12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H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emikalije koje mogu da se proizvode i koriste 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samo i isključivo u istraživačke, medicinske,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farmaceutske ili zaštitne svrhe;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5AA6C44E" w14:textId="188FCFDB" w:rsidR="00051E42" w:rsidRPr="00402CF1" w:rsidRDefault="00D546EA" w:rsidP="00051E42">
      <w:pPr>
        <w:pStyle w:val="ListParagraph"/>
        <w:numPr>
          <w:ilvl w:val="0"/>
          <w:numId w:val="3"/>
        </w:numPr>
        <w:spacing w:before="120" w:after="12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H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emikalije koje se 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razvijaju ili koriste primarno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za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vojne namene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dok se 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pojedine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hemikalije sa Liste 1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koriste i kao sastojci u farmaceutskim preparatima ili u dijagnostici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4AC5DB06" w14:textId="5C188336" w:rsidR="00051E42" w:rsidRPr="00402CF1" w:rsidRDefault="00D546EA" w:rsidP="00051E42">
      <w:pPr>
        <w:pStyle w:val="ListParagraph"/>
        <w:numPr>
          <w:ilvl w:val="0"/>
          <w:numId w:val="3"/>
        </w:numPr>
        <w:spacing w:before="120" w:after="12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P</w:t>
      </w:r>
      <w:r w:rsidR="00770FC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rimeri </w:t>
      </w:r>
      <w:r w:rsidR="008037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ovih hemikalija </w:t>
      </w:r>
      <w:r w:rsidR="00770FC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su nervni agensi </w:t>
      </w:r>
      <w:r w:rsidR="00051E42" w:rsidRPr="00402CF1">
        <w:rPr>
          <w:rFonts w:ascii="Times New Roman" w:eastAsia="Times New Roman" w:hAnsi="Times New Roman" w:cs="Times New Roman"/>
          <w:sz w:val="24"/>
          <w:szCs w:val="24"/>
          <w:lang w:val="sr-Latn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npr. </w:t>
      </w:r>
      <w:r w:rsidR="0080375F">
        <w:rPr>
          <w:rFonts w:ascii="Times New Roman" w:eastAsia="Times New Roman" w:hAnsi="Times New Roman" w:cs="Times New Roman"/>
          <w:sz w:val="24"/>
          <w:szCs w:val="24"/>
          <w:lang w:val="sr-Latn-RS"/>
        </w:rPr>
        <w:t>sari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n</w:t>
      </w:r>
      <w:r w:rsidR="0080375F">
        <w:rPr>
          <w:rFonts w:ascii="Times New Roman" w:eastAsia="Times New Roman" w:hAnsi="Times New Roman" w:cs="Times New Roman"/>
          <w:sz w:val="24"/>
          <w:szCs w:val="24"/>
          <w:lang w:val="sr-Latn-RS"/>
        </w:rPr>
        <w:t>, soman, tabun i VX)</w:t>
      </w:r>
      <w:r w:rsidR="00770FC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plikavce</w:t>
      </w:r>
      <w:r w:rsidR="00770FC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npr. </w:t>
      </w:r>
      <w:r w:rsidR="00171CA1">
        <w:rPr>
          <w:rFonts w:ascii="Times New Roman" w:eastAsia="Times New Roman" w:hAnsi="Times New Roman" w:cs="Times New Roman"/>
          <w:sz w:val="24"/>
          <w:szCs w:val="24"/>
          <w:lang w:val="sr-Latn-RS"/>
        </w:rPr>
        <w:t>iperit</w:t>
      </w:r>
      <w:r w:rsidR="00770FC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 l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u</w:t>
      </w:r>
      <w:r w:rsidR="00770FC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izit). </w:t>
      </w:r>
      <w:r w:rsidR="00051E42" w:rsidRPr="00402CF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14:paraId="2370443B" w14:textId="77777777" w:rsidR="00051E42" w:rsidRPr="00402CF1" w:rsidRDefault="00051E42" w:rsidP="00051E42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14:paraId="24F6571D" w14:textId="0A7FE605" w:rsidR="00051E42" w:rsidRPr="00171CA1" w:rsidRDefault="00171CA1" w:rsidP="00171CA1">
      <w:pPr>
        <w:pStyle w:val="ListParagraph"/>
        <w:spacing w:before="240" w:after="0" w:line="240" w:lineRule="auto"/>
        <w:ind w:left="0"/>
        <w:contextualSpacing w:val="0"/>
        <w:jc w:val="both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171CA1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Lista</w:t>
      </w:r>
      <w:r w:rsidR="00051E42" w:rsidRPr="00171CA1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2</w:t>
      </w:r>
    </w:p>
    <w:p w14:paraId="1978B88C" w14:textId="1330EB39" w:rsidR="00051E42" w:rsidRPr="00402CF1" w:rsidRDefault="00D546EA" w:rsidP="00051E42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buhvata hemikalije i prekursore koji 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ju određene industrijske primene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474C9180" w14:textId="17AF193D" w:rsidR="00051E42" w:rsidRPr="00402CF1" w:rsidRDefault="00D546EA" w:rsidP="00051E42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buhvata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toksične hemikalije </w:t>
      </w:r>
      <w:r w:rsidR="00051E42" w:rsidRPr="00402CF1">
        <w:rPr>
          <w:rFonts w:ascii="Times New Roman" w:hAnsi="Times New Roman" w:cs="Times New Roman"/>
          <w:sz w:val="24"/>
          <w:szCs w:val="24"/>
          <w:lang w:val="sr-Latn-RS"/>
        </w:rPr>
        <w:t xml:space="preserve">(2A) </w:t>
      </w:r>
      <w:r w:rsidR="00770FC3">
        <w:rPr>
          <w:rFonts w:ascii="Times New Roman" w:hAnsi="Times New Roman" w:cs="Times New Roman"/>
          <w:sz w:val="24"/>
          <w:szCs w:val="24"/>
          <w:lang w:val="sr-Latn-RS"/>
        </w:rPr>
        <w:t>i prekursore</w:t>
      </w:r>
      <w:r w:rsidR="00051E42" w:rsidRPr="00402CF1">
        <w:rPr>
          <w:rFonts w:ascii="Times New Roman" w:hAnsi="Times New Roman" w:cs="Times New Roman"/>
          <w:sz w:val="24"/>
          <w:szCs w:val="24"/>
          <w:lang w:val="sr-Latn-RS"/>
        </w:rPr>
        <w:t xml:space="preserve"> (2B) </w:t>
      </w:r>
      <w:r>
        <w:rPr>
          <w:rFonts w:ascii="Times New Roman" w:hAnsi="Times New Roman" w:cs="Times New Roman"/>
          <w:sz w:val="24"/>
          <w:szCs w:val="24"/>
          <w:lang w:val="sr-Latn-RS"/>
        </w:rPr>
        <w:t>za hemikalije iz</w:t>
      </w:r>
      <w:r w:rsidR="00770FC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0375F">
        <w:rPr>
          <w:rFonts w:ascii="Times New Roman" w:hAnsi="Times New Roman" w:cs="Times New Roman"/>
          <w:sz w:val="24"/>
          <w:szCs w:val="24"/>
          <w:lang w:val="sr-Latn-RS"/>
        </w:rPr>
        <w:t>Liste</w:t>
      </w:r>
      <w:r w:rsidR="00770FC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0375F"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F76AFA5" w14:textId="24171BFB" w:rsidR="00051E42" w:rsidRPr="00402CF1" w:rsidRDefault="00D546EA" w:rsidP="00051E42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H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emikalije koje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imaju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neke 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legitimne namene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ali</w:t>
      </w:r>
      <w:r w:rsidR="00171CA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se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ne proizvode u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elikim komercijalnim količinama.</w:t>
      </w:r>
      <w:r w:rsidR="00770FC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673D261B" w14:textId="5C70A4CA" w:rsidR="00051E42" w:rsidRPr="00402CF1" w:rsidRDefault="00D546EA" w:rsidP="00051E42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lastRenderedPageBreak/>
        <w:t>P</w:t>
      </w:r>
      <w:r w:rsidR="00171CA1">
        <w:rPr>
          <w:rFonts w:ascii="Times New Roman" w:eastAsia="Times New Roman" w:hAnsi="Times New Roman" w:cs="Times New Roman"/>
          <w:sz w:val="24"/>
          <w:szCs w:val="24"/>
          <w:lang w:val="sr-Latn-RS"/>
        </w:rPr>
        <w:t>rimeri obuhvataju: dimetil metilfosfonat, prekursor nervnog agensa koji se istovremeno koristi i kao sr</w:t>
      </w:r>
      <w:r w:rsidR="00600407">
        <w:rPr>
          <w:rFonts w:ascii="Times New Roman" w:eastAsia="Times New Roman" w:hAnsi="Times New Roman" w:cs="Times New Roman"/>
          <w:sz w:val="24"/>
          <w:szCs w:val="24"/>
          <w:lang w:val="sr-Latn-RS"/>
        </w:rPr>
        <w:t>edstvo za usporavanje gorenja,</w:t>
      </w:r>
      <w:r w:rsidR="00171CA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tiodiglikol, prekursor iperita koji ima rasprostranjenu upotrebu kao rastvarač boja i mastila, kao i određene hemikalije koje se koriste za proizvodnju đubriva, insekticida, herbicida i pesticida.   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2FEBB97E" w14:textId="77777777" w:rsidR="00051E42" w:rsidRPr="00402CF1" w:rsidRDefault="00051E42" w:rsidP="00051E42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14:paraId="0137EEE5" w14:textId="23ED0F20" w:rsidR="00051E42" w:rsidRPr="00402CF1" w:rsidRDefault="008277E2" w:rsidP="00051E4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hyperlink r:id="rId11" w:history="1">
        <w:r w:rsidR="00171CA1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sr-Latn-RS"/>
          </w:rPr>
          <w:t>Lista</w:t>
        </w:r>
        <w:r w:rsidR="00051E42" w:rsidRPr="00402CF1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sr-Latn-RS"/>
          </w:rPr>
          <w:t xml:space="preserve"> 3</w:t>
        </w:r>
      </w:hyperlink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59D46BAE" w14:textId="407FB488" w:rsidR="00051E42" w:rsidRPr="00402CF1" w:rsidRDefault="00D546EA" w:rsidP="00051E42">
      <w:pPr>
        <w:pStyle w:val="ListParagraph"/>
        <w:numPr>
          <w:ilvl w:val="0"/>
          <w:numId w:val="1"/>
        </w:numPr>
        <w:spacing w:before="120" w:after="12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</w:t>
      </w:r>
      <w:r w:rsidR="00171CA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buhvata hemikalije i prekursore s</w:t>
      </w:r>
      <w:r w:rsidR="00DA2CB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a širim komercijalnim primenama.</w:t>
      </w:r>
      <w:r w:rsidR="00171CA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4533DDA9" w14:textId="32302520" w:rsidR="00051E42" w:rsidRPr="00402CF1" w:rsidRDefault="00D546EA" w:rsidP="00051E42">
      <w:pPr>
        <w:pStyle w:val="ListParagraph"/>
        <w:numPr>
          <w:ilvl w:val="0"/>
          <w:numId w:val="1"/>
        </w:numPr>
        <w:spacing w:before="120" w:after="12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171CA1">
        <w:rPr>
          <w:rFonts w:ascii="Times New Roman" w:hAnsi="Times New Roman" w:cs="Times New Roman"/>
          <w:sz w:val="24"/>
          <w:szCs w:val="24"/>
          <w:lang w:val="sr-Latn-RS"/>
        </w:rPr>
        <w:t xml:space="preserve">buhvata toksične hemikalije </w:t>
      </w:r>
      <w:r w:rsidR="00051E42" w:rsidRPr="00402CF1">
        <w:rPr>
          <w:rFonts w:ascii="Times New Roman" w:hAnsi="Times New Roman" w:cs="Times New Roman"/>
          <w:sz w:val="24"/>
          <w:szCs w:val="24"/>
          <w:lang w:val="sr-Latn-RS"/>
        </w:rPr>
        <w:t xml:space="preserve">(3A) </w:t>
      </w:r>
      <w:r w:rsidR="00171CA1">
        <w:rPr>
          <w:rFonts w:ascii="Times New Roman" w:hAnsi="Times New Roman" w:cs="Times New Roman"/>
          <w:sz w:val="24"/>
          <w:szCs w:val="24"/>
          <w:lang w:val="sr-Latn-RS"/>
        </w:rPr>
        <w:t>i prekursore</w:t>
      </w:r>
      <w:r w:rsidR="00051E42" w:rsidRPr="00402CF1">
        <w:rPr>
          <w:rFonts w:ascii="Times New Roman" w:hAnsi="Times New Roman" w:cs="Times New Roman"/>
          <w:sz w:val="24"/>
          <w:szCs w:val="24"/>
          <w:lang w:val="sr-Latn-RS"/>
        </w:rPr>
        <w:t xml:space="preserve"> (3B) </w:t>
      </w:r>
      <w:r w:rsidR="00DA2CB6">
        <w:rPr>
          <w:rFonts w:ascii="Times New Roman" w:hAnsi="Times New Roman" w:cs="Times New Roman"/>
          <w:sz w:val="24"/>
          <w:szCs w:val="24"/>
          <w:lang w:val="sr-Latn-RS"/>
        </w:rPr>
        <w:t>za hemikalije iz</w:t>
      </w:r>
      <w:r w:rsidR="00600407">
        <w:rPr>
          <w:rFonts w:ascii="Times New Roman" w:hAnsi="Times New Roman" w:cs="Times New Roman"/>
          <w:sz w:val="24"/>
          <w:szCs w:val="24"/>
          <w:lang w:val="sr-Latn-RS"/>
        </w:rPr>
        <w:t xml:space="preserve"> Liste</w:t>
      </w:r>
      <w:r w:rsidR="00171CA1">
        <w:rPr>
          <w:rFonts w:ascii="Times New Roman" w:hAnsi="Times New Roman" w:cs="Times New Roman"/>
          <w:sz w:val="24"/>
          <w:szCs w:val="24"/>
          <w:lang w:val="sr-Latn-RS"/>
        </w:rPr>
        <w:t xml:space="preserve"> 1</w:t>
      </w:r>
      <w:r w:rsidR="00DA2CB6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171C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71CB6D77" w14:textId="0D1D5B63" w:rsidR="00051E42" w:rsidRPr="00402CF1" w:rsidRDefault="00D546EA" w:rsidP="00051E42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H</w:t>
      </w:r>
      <w:r w:rsidR="00171CA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emikalije sa velikim brojem legitimnih namena (uključujuć</w:t>
      </w:r>
      <w:r w:rsidR="00DA2CB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 plastiku, uretan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 adsorben</w:t>
      </w:r>
      <w:r w:rsidR="00DA2CB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te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 smol</w:t>
      </w:r>
      <w:r w:rsidR="00DA2CB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e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</w:t>
      </w:r>
      <w:r w:rsidR="006004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hemikalij</w:t>
      </w:r>
      <w:r w:rsidR="00DA2CB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e</w:t>
      </w:r>
      <w:r w:rsidR="006004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za rudar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stvo, </w:t>
      </w:r>
      <w:r w:rsidR="00DA2CB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fumigante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za rafiniranje nafte, boj</w:t>
      </w:r>
      <w:r w:rsidR="00DA2CB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e, premaze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 a</w:t>
      </w:r>
      <w:r w:rsidR="006004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n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tistatičk</w:t>
      </w:r>
      <w:r w:rsidR="00DA2CB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e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agen</w:t>
      </w:r>
      <w:r w:rsidR="00DA2CB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se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 pesticid</w:t>
      </w:r>
      <w:r w:rsidR="00DA2CB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e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 farmaceutsk</w:t>
      </w:r>
      <w:r w:rsidR="00DA2CB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e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proizvod</w:t>
      </w:r>
      <w:r w:rsidR="00DA2CB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e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 sredstva za ličnu higijenu, maziva, akril</w:t>
      </w:r>
      <w:r w:rsidR="00DA2CB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e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 sme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š</w:t>
      </w:r>
      <w:r w:rsidR="00DA2CB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e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koje se koriste u kožarskoj industriji, </w:t>
      </w:r>
      <w:r w:rsidR="00DA2CB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surfaktante, inhibitore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korozije, materijal</w:t>
      </w:r>
      <w:r w:rsidR="00DA2CB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e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koji se koriste u vađen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j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u zlata, </w:t>
      </w:r>
      <w:r w:rsidR="00DA2CB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agense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za vulkanizaciju i mnog</w:t>
      </w:r>
      <w:r w:rsidR="00DA2CB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e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drug</w:t>
      </w:r>
      <w:r w:rsidR="00DA2CB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e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 i proizvode se u v</w:t>
      </w:r>
      <w:r w:rsidR="00A35ED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elikim komercijalnim količinama.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24335C9A" w14:textId="2B06B023" w:rsidR="00051E42" w:rsidRPr="00402CF1" w:rsidRDefault="00D546EA" w:rsidP="00051E42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P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rimeri obuhvataju: </w:t>
      </w:r>
      <w:r w:rsidR="00A35ED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foz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gen koji se koristi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u proizvodnji plastike,</w:t>
      </w:r>
      <w:r w:rsidR="00A35ED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hlor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pikrin koji 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se koristi kao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fumigant i 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druge hemikalije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koj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e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se koriste za proizvodnju razređivača za boje, sredst</w:t>
      </w:r>
      <w:r w:rsidR="00A35ED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a</w:t>
      </w:r>
      <w:r w:rsidR="006D28E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va za čisćenje i maziva.  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617448D9" w14:textId="77777777" w:rsidR="00051E42" w:rsidRPr="00402CF1" w:rsidRDefault="00051E42" w:rsidP="00051E42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14:paraId="451BA2EB" w14:textId="1A0E36A1" w:rsidR="00051E42" w:rsidRPr="00402CF1" w:rsidRDefault="006D28E8" w:rsidP="00051E42">
      <w:pPr>
        <w:pStyle w:val="ListParagraph"/>
        <w:spacing w:before="120" w:after="100" w:afterAutospacing="1" w:line="240" w:lineRule="auto"/>
        <w:ind w:left="0"/>
        <w:contextualSpacing w:val="0"/>
        <w:jc w:val="both"/>
        <w:rPr>
          <w:rFonts w:ascii="Times New Roman" w:hAnsi="Times New Roman" w:cs="Times New Roman"/>
          <w:color w:val="2A2A2A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Konvencija o hemijskom oružju (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CWC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 obuh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v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ta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051E42" w:rsidRPr="00402C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neklasifikovane</w:t>
      </w:r>
      <w:r w:rsidR="00051E42" w:rsidRPr="00402C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)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A35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diskre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tne organske supstance (</w:t>
      </w:r>
      <w:r w:rsidR="00051E42" w:rsidRPr="0040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DOC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)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color w:val="2A2A2A"/>
          <w:sz w:val="24"/>
          <w:szCs w:val="24"/>
          <w:lang w:val="sr-Latn-RS"/>
        </w:rPr>
        <w:t>Diskretne organske supstance su hemijske supstance koje pripadaju klasi hemijskih jedinjenja koja se sastoje od svih jedinjenja ugljenika osim njegovih oksida, sulfida i karbonata</w:t>
      </w:r>
      <w:r w:rsidR="00A35ED6">
        <w:rPr>
          <w:rFonts w:ascii="Times New Roman" w:hAnsi="Times New Roman" w:cs="Times New Roman"/>
          <w:color w:val="2A2A2A"/>
          <w:sz w:val="24"/>
          <w:szCs w:val="24"/>
          <w:lang w:val="sr-Latn-RS"/>
        </w:rPr>
        <w:t xml:space="preserve"> metala</w:t>
      </w:r>
      <w:r>
        <w:rPr>
          <w:rFonts w:ascii="Times New Roman" w:hAnsi="Times New Roman" w:cs="Times New Roman"/>
          <w:color w:val="2A2A2A"/>
          <w:sz w:val="24"/>
          <w:szCs w:val="24"/>
          <w:lang w:val="sr-Latn-RS"/>
        </w:rPr>
        <w:t xml:space="preserve">. </w:t>
      </w:r>
      <w:r w:rsidR="00051E42" w:rsidRPr="00402CF1">
        <w:rPr>
          <w:rFonts w:ascii="Times New Roman" w:hAnsi="Times New Roman" w:cs="Times New Roman"/>
          <w:color w:val="2A2A2A"/>
          <w:sz w:val="24"/>
          <w:szCs w:val="24"/>
          <w:lang w:val="sr-Latn-RS"/>
        </w:rPr>
        <w:t xml:space="preserve"> </w:t>
      </w:r>
    </w:p>
    <w:p w14:paraId="5045F566" w14:textId="6C60D145" w:rsidR="00051E42" w:rsidRPr="00402CF1" w:rsidRDefault="006D28E8" w:rsidP="00051E42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Neklasifikovane diskretne organske supstance (DO</w:t>
      </w:r>
      <w:r w:rsidR="00D1346B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C</w:t>
      </w:r>
      <w:r w:rsidR="00051E42" w:rsidRPr="00402CF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)</w:t>
      </w:r>
    </w:p>
    <w:p w14:paraId="26E436B4" w14:textId="05ED936E" w:rsidR="00051E42" w:rsidRPr="00402CF1" w:rsidRDefault="006D28E8" w:rsidP="00051E42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Disrektne organske supstance nisu obuhvaćene Listama hemikalija Konvencije o hemijskom oružju (CWC). 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1C135968" w14:textId="2C6FED5E" w:rsidR="00051E42" w:rsidRPr="00402CF1" w:rsidRDefault="006D28E8" w:rsidP="00051E42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2A2A2A"/>
          <w:sz w:val="24"/>
          <w:szCs w:val="24"/>
          <w:lang w:val="sr-Latn-RS"/>
        </w:rPr>
        <w:t xml:space="preserve">Diskretne organske supstance </w:t>
      </w:r>
      <w:r w:rsidR="00A35ED6">
        <w:rPr>
          <w:rFonts w:ascii="Times New Roman" w:hAnsi="Times New Roman" w:cs="Times New Roman"/>
          <w:color w:val="2A2A2A"/>
          <w:sz w:val="24"/>
          <w:szCs w:val="24"/>
          <w:lang w:val="sr-Latn-RS"/>
        </w:rPr>
        <w:t xml:space="preserve">mogu se identifikovati </w:t>
      </w:r>
      <w:r>
        <w:rPr>
          <w:rFonts w:ascii="Times New Roman" w:hAnsi="Times New Roman" w:cs="Times New Roman"/>
          <w:color w:val="2A2A2A"/>
          <w:sz w:val="24"/>
          <w:szCs w:val="24"/>
          <w:lang w:val="sr-Latn-RS"/>
        </w:rPr>
        <w:t>po svom hemijskom nazivu, strukturnoj formu</w:t>
      </w:r>
      <w:r w:rsidR="00600407">
        <w:rPr>
          <w:rFonts w:ascii="Times New Roman" w:hAnsi="Times New Roman" w:cs="Times New Roman"/>
          <w:color w:val="2A2A2A"/>
          <w:sz w:val="24"/>
          <w:szCs w:val="24"/>
          <w:lang w:val="sr-Latn-RS"/>
        </w:rPr>
        <w:t>li (</w:t>
      </w:r>
      <w:r w:rsidR="00A35ED6">
        <w:rPr>
          <w:rFonts w:ascii="Times New Roman" w:hAnsi="Times New Roman" w:cs="Times New Roman"/>
          <w:color w:val="2A2A2A"/>
          <w:sz w:val="24"/>
          <w:szCs w:val="24"/>
          <w:lang w:val="sr-Latn-RS"/>
        </w:rPr>
        <w:t>ako</w:t>
      </w:r>
      <w:r w:rsidR="00600407">
        <w:rPr>
          <w:rFonts w:ascii="Times New Roman" w:hAnsi="Times New Roman" w:cs="Times New Roman"/>
          <w:color w:val="2A2A2A"/>
          <w:sz w:val="24"/>
          <w:szCs w:val="24"/>
          <w:lang w:val="sr-Latn-RS"/>
        </w:rPr>
        <w:t xml:space="preserve"> je poznata) i </w:t>
      </w:r>
      <w:r>
        <w:rPr>
          <w:rFonts w:ascii="Times New Roman" w:hAnsi="Times New Roman" w:cs="Times New Roman"/>
          <w:color w:val="2A2A2A"/>
          <w:sz w:val="24"/>
          <w:szCs w:val="24"/>
          <w:lang w:val="sr-Latn-RS"/>
        </w:rPr>
        <w:t xml:space="preserve">registarskom broju Službe za hemijske abstrakte (CAS), ukoliko je </w:t>
      </w:r>
      <w:r w:rsidR="00A35ED6">
        <w:rPr>
          <w:rFonts w:ascii="Times New Roman" w:hAnsi="Times New Roman" w:cs="Times New Roman"/>
          <w:color w:val="2A2A2A"/>
          <w:sz w:val="24"/>
          <w:szCs w:val="24"/>
          <w:lang w:val="sr-Latn-RS"/>
        </w:rPr>
        <w:t>određen</w:t>
      </w:r>
      <w:r>
        <w:rPr>
          <w:rFonts w:ascii="Times New Roman" w:hAnsi="Times New Roman" w:cs="Times New Roman"/>
          <w:color w:val="2A2A2A"/>
          <w:sz w:val="24"/>
          <w:szCs w:val="24"/>
          <w:lang w:val="sr-Latn-RS"/>
        </w:rPr>
        <w:t xml:space="preserve">. </w:t>
      </w:r>
    </w:p>
    <w:p w14:paraId="2D599F3C" w14:textId="4789FA8C" w:rsidR="00051E42" w:rsidRPr="00402CF1" w:rsidRDefault="006D28E8" w:rsidP="00051E42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Primeri obuhvataju alkohole, aldehi</w:t>
      </w:r>
      <w:r w:rsidR="00A35ED6">
        <w:rPr>
          <w:rFonts w:ascii="Times New Roman" w:hAnsi="Times New Roman" w:cs="Times New Roman"/>
          <w:sz w:val="24"/>
          <w:szCs w:val="24"/>
          <w:lang w:val="sr-Latn-RS"/>
        </w:rPr>
        <w:t>de (na primer, formaldehid), et</w:t>
      </w:r>
      <w:r>
        <w:rPr>
          <w:rFonts w:ascii="Times New Roman" w:hAnsi="Times New Roman" w:cs="Times New Roman"/>
          <w:sz w:val="24"/>
          <w:szCs w:val="24"/>
          <w:lang w:val="sr-Latn-RS"/>
        </w:rPr>
        <w:t>re, amine, etilen oksid, ure</w:t>
      </w:r>
      <w:r w:rsidR="00600407">
        <w:rPr>
          <w:rFonts w:ascii="Times New Roman" w:hAnsi="Times New Roman" w:cs="Times New Roman"/>
          <w:sz w:val="24"/>
          <w:szCs w:val="24"/>
          <w:lang w:val="sr-Latn-RS"/>
        </w:rPr>
        <w:t>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đubriva (na primer, soli glifosata) i pesticide. </w:t>
      </w:r>
      <w:r w:rsidR="00051E42" w:rsidRPr="00402CF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623E79F7" w14:textId="1B442A4E" w:rsidR="00051E42" w:rsidRPr="00402CF1" w:rsidRDefault="003055C2" w:rsidP="00051E42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Diskretne organske supstance koje sadrže jedan ili više elemenata fosfora, sumpora ili fluora </w:t>
      </w:r>
      <w:r w:rsidR="0080375F">
        <w:rPr>
          <w:rFonts w:ascii="Times New Roman" w:hAnsi="Times New Roman" w:cs="Times New Roman"/>
          <w:sz w:val="24"/>
          <w:szCs w:val="24"/>
          <w:lang w:val="sr-Latn-RS"/>
        </w:rPr>
        <w:t>poznate su kao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51E42" w:rsidRPr="00402CF1">
        <w:rPr>
          <w:rFonts w:ascii="Times New Roman" w:hAnsi="Times New Roman" w:cs="Times New Roman"/>
          <w:sz w:val="24"/>
          <w:szCs w:val="24"/>
          <w:lang w:val="sr-Latn-RS"/>
        </w:rPr>
        <w:t>PSF-DOC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supstance</w:t>
      </w:r>
      <w:r w:rsidR="00051E42" w:rsidRPr="00402CF1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1D9E947" w14:textId="77777777" w:rsidR="00051E42" w:rsidRPr="00402CF1" w:rsidRDefault="00051E42" w:rsidP="0005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6FD6F586" w14:textId="244F7262" w:rsidR="00051E42" w:rsidRPr="00402CF1" w:rsidRDefault="0080375F" w:rsidP="00051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  <w:t>Deklaracije</w:t>
      </w:r>
      <w:r w:rsidR="00305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  <w:t xml:space="preserve"> i izveštaji </w:t>
      </w:r>
    </w:p>
    <w:p w14:paraId="24960061" w14:textId="77777777" w:rsidR="00051E42" w:rsidRPr="00402CF1" w:rsidRDefault="00051E42" w:rsidP="0005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299955E4" w14:textId="2A49D7D9" w:rsidR="00051E42" w:rsidRPr="00402CF1" w:rsidRDefault="003055C2" w:rsidP="0005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Konvencija o hemijskom oružju države potpisnice obavezuje da se izjasne o </w:t>
      </w:r>
      <w:r w:rsidR="00D1346B">
        <w:rPr>
          <w:rFonts w:ascii="Times New Roman" w:eastAsia="Times New Roman" w:hAnsi="Times New Roman" w:cs="Times New Roman"/>
          <w:sz w:val="24"/>
          <w:szCs w:val="24"/>
          <w:lang w:val="sr-Latn-RS"/>
        </w:rPr>
        <w:t>određenim aktivnostima u vezi sa na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veden</w:t>
      </w:r>
      <w:r w:rsidR="00D1346B">
        <w:rPr>
          <w:rFonts w:ascii="Times New Roman" w:eastAsia="Times New Roman" w:hAnsi="Times New Roman" w:cs="Times New Roman"/>
          <w:sz w:val="24"/>
          <w:szCs w:val="24"/>
          <w:lang w:val="sr-Latn-RS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hemikalij</w:t>
      </w:r>
      <w:r w:rsidR="00D1346B">
        <w:rPr>
          <w:rFonts w:ascii="Times New Roman" w:eastAsia="Times New Roman" w:hAnsi="Times New Roman" w:cs="Times New Roman"/>
          <w:sz w:val="24"/>
          <w:szCs w:val="24"/>
          <w:lang w:val="sr-Latn-RS"/>
        </w:rPr>
        <w:t>ama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Preduzeća koja posluju u zemljama koje su države potpisnice Konvencije o hemijskom oružju dužne su da Nacionalnom telu </w:t>
      </w:r>
      <w:r w:rsidR="008037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za implementaciju Konvencije o hemijskom oružju u </w:t>
      </w:r>
      <w:r w:rsidR="00D134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svojoj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zemlji podnesu izjave</w:t>
      </w:r>
      <w:r w:rsidR="00D1346B">
        <w:rPr>
          <w:rFonts w:ascii="Times New Roman" w:eastAsia="Times New Roman" w:hAnsi="Times New Roman" w:cs="Times New Roman"/>
          <w:sz w:val="24"/>
          <w:szCs w:val="24"/>
          <w:lang w:val="sr-Latn-R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deklaracije o </w:t>
      </w:r>
      <w:r w:rsidR="00600407">
        <w:rPr>
          <w:rFonts w:ascii="Times New Roman" w:eastAsia="Times New Roman" w:hAnsi="Times New Roman" w:cs="Times New Roman"/>
          <w:sz w:val="24"/>
          <w:szCs w:val="24"/>
          <w:lang w:val="sr-Latn-RS"/>
        </w:rPr>
        <w:lastRenderedPageBreak/>
        <w:t>proizvodnji, potrošnji 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preradi</w:t>
      </w:r>
      <w:r w:rsidR="00600407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D134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kao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 izveštaj</w:t>
      </w:r>
      <w:r w:rsidR="00600407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o uvozu i izvoz</w:t>
      </w:r>
      <w:r w:rsidR="00600407">
        <w:rPr>
          <w:rFonts w:ascii="Times New Roman" w:eastAsia="Times New Roman" w:hAnsi="Times New Roman" w:cs="Times New Roman"/>
          <w:sz w:val="24"/>
          <w:szCs w:val="24"/>
          <w:lang w:val="sr-Latn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80375F">
        <w:rPr>
          <w:rFonts w:ascii="Times New Roman" w:eastAsia="Times New Roman" w:hAnsi="Times New Roman" w:cs="Times New Roman"/>
          <w:sz w:val="24"/>
          <w:szCs w:val="24"/>
          <w:lang w:val="sr-Latn-RS"/>
        </w:rPr>
        <w:t>tih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hemikalija</w:t>
      </w:r>
      <w:r w:rsidR="00051E42" w:rsidRPr="00402CF1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051E42" w:rsidRPr="00402CF1">
        <w:rPr>
          <w:rStyle w:val="EndnoteReference"/>
          <w:rFonts w:ascii="Times New Roman" w:eastAsia="Times New Roman" w:hAnsi="Times New Roman" w:cs="Times New Roman"/>
          <w:sz w:val="24"/>
          <w:szCs w:val="24"/>
          <w:lang w:val="sr-Latn-RS"/>
        </w:rPr>
        <w:endnoteReference w:id="2"/>
      </w:r>
      <w:r w:rsidR="00051E42" w:rsidRPr="00402CF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Ovi zahtevi uključuju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:</w:t>
      </w:r>
    </w:p>
    <w:p w14:paraId="5098A761" w14:textId="4495CB42" w:rsidR="00051E42" w:rsidRPr="00402CF1" w:rsidRDefault="00D1346B" w:rsidP="00051E42">
      <w:pPr>
        <w:numPr>
          <w:ilvl w:val="0"/>
          <w:numId w:val="5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</w:t>
      </w:r>
      <w:r w:rsidR="003055C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nicijalne 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deklaracije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;</w:t>
      </w:r>
    </w:p>
    <w:p w14:paraId="0B5A0CF5" w14:textId="0E4C4F85" w:rsidR="00051E42" w:rsidRPr="00402CF1" w:rsidRDefault="00D1346B" w:rsidP="00051E42">
      <w:pPr>
        <w:numPr>
          <w:ilvl w:val="0"/>
          <w:numId w:val="5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G</w:t>
      </w:r>
      <w:r w:rsidR="003055C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odišnje 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deklaracije</w:t>
      </w:r>
      <w:r w:rsidR="003055C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o aktivnostima sprovedenim u protekloj godini; 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18AFC8E1" w14:textId="14DDF5F4" w:rsidR="00051E42" w:rsidRPr="00402CF1" w:rsidRDefault="00D1346B" w:rsidP="00051E42">
      <w:pPr>
        <w:numPr>
          <w:ilvl w:val="0"/>
          <w:numId w:val="5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G</w:t>
      </w:r>
      <w:r w:rsidR="003055C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odišnje 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deklaracije</w:t>
      </w:r>
      <w:r w:rsidR="003055C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o aktivnostima planiranim za narednu godinu; 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2ABA2A38" w14:textId="49CBABD1" w:rsidR="00051E42" w:rsidRPr="00402CF1" w:rsidRDefault="00D1346B" w:rsidP="00051E42">
      <w:pPr>
        <w:numPr>
          <w:ilvl w:val="0"/>
          <w:numId w:val="5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</w:t>
      </w:r>
      <w:r w:rsidR="003055C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zmene i dopune ili ažuriranja podataka u već podnet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im </w:t>
      </w:r>
      <w:r w:rsidR="006004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deklaracijama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ili dodatno planiran</w:t>
      </w:r>
      <w:r w:rsidR="003055C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im aktivnostima.  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42F26EF3" w14:textId="77777777" w:rsidR="00051E42" w:rsidRPr="00402CF1" w:rsidRDefault="00051E42" w:rsidP="00051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14:paraId="69973A7D" w14:textId="03140C7E" w:rsidR="00051E42" w:rsidRPr="00402CF1" w:rsidRDefault="003055C2" w:rsidP="00051E4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  <w:t>Inspekcijsk</w:t>
      </w:r>
      <w:r w:rsidR="00D13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  <w:t>i nadzor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:  </w:t>
      </w:r>
    </w:p>
    <w:p w14:paraId="69ABC1EC" w14:textId="352AA4E7" w:rsidR="00051E42" w:rsidRPr="00402CF1" w:rsidRDefault="003055C2" w:rsidP="00051E4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Konvencija o hemijskom oružju 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u slučaju prekoračenja određenih (uglavnom većih) pragova aktivnosti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nalaže sprovođenje inspekcijsk</w:t>
      </w:r>
      <w:r w:rsidR="00D1346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og nadzora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na licu mestu. </w:t>
      </w:r>
      <w:r w:rsidR="0080375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7D3B65E1" w14:textId="77777777" w:rsidR="00051E42" w:rsidRPr="00402CF1" w:rsidRDefault="00051E42" w:rsidP="00051E4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14:paraId="6AC05F33" w14:textId="011B54B1" w:rsidR="00051E42" w:rsidRPr="00402CF1" w:rsidRDefault="00695913" w:rsidP="00051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Početni</w:t>
      </w:r>
      <w:r w:rsidR="003055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 xml:space="preserve"> inspekcijsk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i</w:t>
      </w:r>
      <w:r w:rsidR="003055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nadzor</w:t>
      </w:r>
    </w:p>
    <w:p w14:paraId="7111081B" w14:textId="06A95FBB" w:rsidR="00051E42" w:rsidRPr="00402CF1" w:rsidRDefault="00EA0347" w:rsidP="00051E42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P</w:t>
      </w:r>
      <w:r w:rsidR="0069591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roverava</w:t>
      </w:r>
      <w:r w:rsidR="003055C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tačnost </w:t>
      </w:r>
      <w:r w:rsidR="00265C80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deklaracija</w:t>
      </w:r>
      <w:r w:rsidR="003055C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i </w:t>
      </w:r>
      <w:r w:rsidR="0069591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osigurava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3055C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usklađenost aktivnosti sa ciljem i </w:t>
      </w:r>
      <w:r w:rsidR="002215C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svrhom</w:t>
      </w:r>
      <w:r w:rsidR="003055C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Konvencije o hemijskom oružju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  <w:r w:rsidR="003055C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3570F92F" w14:textId="6358DA20" w:rsidR="00051E42" w:rsidRPr="00402CF1" w:rsidRDefault="00EA0347" w:rsidP="00051E42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V</w:t>
      </w:r>
      <w:r w:rsidR="0069591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rši</w:t>
      </w:r>
      <w:r w:rsidR="003055C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procenu rizika radi utvrđivanja učestalosti </w:t>
      </w:r>
      <w:r w:rsidR="00FF7840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inspekcija </w:t>
      </w:r>
      <w:r w:rsidR="003055C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i </w:t>
      </w:r>
      <w:r w:rsidR="00FF7840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stepena </w:t>
      </w:r>
      <w:r w:rsidR="003055C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invazivnost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 budućih inspekcij</w:t>
      </w:r>
      <w:r w:rsidR="00FF7840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  <w:r w:rsidR="003055C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4A143FD7" w14:textId="15CDFB59" w:rsidR="00051E42" w:rsidRPr="00402CF1" w:rsidRDefault="00EA0347" w:rsidP="00051E42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P</w:t>
      </w:r>
      <w:r w:rsidR="003055C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riprema sporazu</w:t>
      </w:r>
      <w:r w:rsidR="007E13D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me koji se odnose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proizvodna postrojenja</w:t>
      </w:r>
      <w:r w:rsidR="007E13D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(koj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</w:t>
      </w:r>
      <w:r w:rsidR="007E13D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su obavezni za hemikalije</w:t>
      </w:r>
      <w:r w:rsidR="00265C80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7E13D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sa Liste 1 i 2</w:t>
      </w:r>
      <w:r w:rsidR="0069591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</w:t>
      </w:r>
      <w:r w:rsidR="007E13D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a opcioni za hemikalije sa Liste 3 i DOC supstance). 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05E1E4B0" w14:textId="0FCE2480" w:rsidR="00051E42" w:rsidRPr="00402CF1" w:rsidRDefault="00695913" w:rsidP="00051E4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Naknadni</w:t>
      </w:r>
      <w:r w:rsidR="007E1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 xml:space="preserve"> (rutinsk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i</w:t>
      </w:r>
      <w:r w:rsidR="00051E42" w:rsidRPr="00402C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 xml:space="preserve">) </w:t>
      </w:r>
      <w:r w:rsidR="00265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inspekcijsk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i</w:t>
      </w:r>
      <w:r w:rsidR="00265C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nadzor</w:t>
      </w:r>
    </w:p>
    <w:p w14:paraId="460EF5A6" w14:textId="6DEA2B07" w:rsidR="00051E42" w:rsidRPr="00402CF1" w:rsidRDefault="007E13D8" w:rsidP="007C72D8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Svrha je verifikacija </w:t>
      </w:r>
      <w:r w:rsidR="00265C80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deklaracija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r w:rsidR="00265C80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odnosno odsustva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hemikalija sa Liste 1 (ukoliko nisu prijavljene) i </w:t>
      </w:r>
      <w:r w:rsidR="005A6A1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provera postojanja rizika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neovlašćenog preusmeravanja hemikalija</w:t>
      </w:r>
      <w:r w:rsidR="00FF7840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sa liste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.  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46F2C69C" w14:textId="7567C8D2" w:rsidR="00051E42" w:rsidRPr="00402CF1" w:rsidRDefault="00EA0347" w:rsidP="007C72D8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Proizvodna postrojenja </w:t>
      </w:r>
      <w:r w:rsidR="005A6A1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za</w:t>
      </w:r>
      <w:r w:rsidR="007E13D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hemikalij</w:t>
      </w:r>
      <w:r w:rsidR="005A6A1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e</w:t>
      </w:r>
      <w:r w:rsidR="007E13D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sa Liste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1:</w:t>
      </w:r>
      <w:r w:rsidR="00FF7840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broj,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7E13D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intenzitet, trajanje, vreme i način vršenja inspekcijsk</w:t>
      </w:r>
      <w:r w:rsidR="00BC4C89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og nadzora</w:t>
      </w:r>
      <w:r w:rsidR="007E13D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na osnovu postojećeg rizika. </w:t>
      </w:r>
    </w:p>
    <w:p w14:paraId="6ABA1853" w14:textId="6D41D0A1" w:rsidR="00051E42" w:rsidRPr="00402CF1" w:rsidRDefault="007E13D8" w:rsidP="007C72D8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Proizvodn</w:t>
      </w:r>
      <w:r w:rsidR="00EA034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p</w:t>
      </w:r>
      <w:r w:rsidR="00EA034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ostrojenja </w:t>
      </w:r>
      <w:r w:rsidR="005A6A1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hemikalij</w:t>
      </w:r>
      <w:r w:rsidR="005A6A1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sa Liste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2: </w:t>
      </w:r>
      <w:r w:rsidR="002733F5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po lokaciji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najviše 2 inspekcijsk</w:t>
      </w:r>
      <w:r w:rsidR="00BC4C89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BC4C89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nadzora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go</w:t>
      </w:r>
      <w:r w:rsidR="00EA034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di</w:t>
      </w:r>
      <w:r w:rsidR="005A6A1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šnje</w:t>
      </w:r>
      <w:r w:rsidR="00BC4C89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</w:t>
      </w:r>
      <w:r w:rsidR="005A6A1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pri čemu </w:t>
      </w:r>
      <w:r w:rsidR="00BC4C89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pojedinačni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inspekcijsk</w:t>
      </w:r>
      <w:r w:rsidR="00BC4C89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BC4C89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nadzor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2733F5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može da traje </w:t>
      </w:r>
      <w:r w:rsidR="002733F5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duže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96 sati. 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00441733" w14:textId="0F774541" w:rsidR="00051E42" w:rsidRPr="00402CF1" w:rsidRDefault="007E13D8" w:rsidP="007C72D8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P</w:t>
      </w:r>
      <w:r w:rsidR="005A6A1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roizvodn</w:t>
      </w:r>
      <w:r w:rsidR="002733F5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a</w:t>
      </w:r>
      <w:r w:rsidR="005A6A1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po</w:t>
      </w:r>
      <w:r w:rsidR="002733F5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strojenja </w:t>
      </w:r>
      <w:r w:rsidR="005A6A1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za hemikalije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sa Liste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3: </w:t>
      </w:r>
      <w:r w:rsidR="002733F5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po lokaciji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najviše 2 inspekcijsk</w:t>
      </w:r>
      <w:r w:rsidR="00BC4C89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BC4C89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nadzora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godišnje (nacionalni godišnji maksimum od 20 inspekcijskih </w:t>
      </w:r>
      <w:r w:rsidR="00BC4C89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nadzora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BC4C89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postrojenja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kojima se proizvode </w:t>
      </w:r>
      <w:r w:rsidR="00BC4C89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hemikalije sa Liste 3</w:t>
      </w:r>
      <w:r w:rsidR="00BC4C89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i </w:t>
      </w:r>
      <w:r w:rsidR="002733F5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diskretne organske supstance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</w:t>
      </w:r>
      <w:r w:rsidR="00BC4C89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</w:t>
      </w:r>
      <w:r w:rsidR="005A6A1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pri čemu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inspekcijsk</w:t>
      </w:r>
      <w:r w:rsidR="00BC4C89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BC4C89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nadzor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2733F5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ne </w:t>
      </w:r>
      <w:r w:rsidR="005A6A1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može da traje duže od 24 sata.  </w:t>
      </w:r>
    </w:p>
    <w:p w14:paraId="4F3ABA58" w14:textId="300882CC" w:rsidR="00051E42" w:rsidRPr="00402CF1" w:rsidRDefault="007E13D8" w:rsidP="007C72D8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Proizvodn</w:t>
      </w:r>
      <w:r w:rsidR="002733F5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a</w:t>
      </w:r>
      <w:r w:rsidR="005A6A1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2733F5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postrojenja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diskretnih </w:t>
      </w:r>
      <w:r w:rsidR="00BC4C89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organski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h supstanci: po pravilu isto kao i kod hemikalija sa Liste </w:t>
      </w:r>
      <w:r w:rsidR="00051E42" w:rsidRPr="00402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3.</w:t>
      </w:r>
      <w:r w:rsidR="00051E42" w:rsidRPr="00402CF1">
        <w:rPr>
          <w:rStyle w:val="EndnoteReference"/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endnoteReference w:id="3"/>
      </w:r>
    </w:p>
    <w:p w14:paraId="2AC66D55" w14:textId="77777777" w:rsidR="008C3FDD" w:rsidRPr="00402CF1" w:rsidRDefault="008277E2">
      <w:pPr>
        <w:rPr>
          <w:lang w:val="sr-Latn-RS"/>
        </w:rPr>
      </w:pPr>
      <w:bookmarkStart w:id="0" w:name="_GoBack"/>
      <w:bookmarkEnd w:id="0"/>
    </w:p>
    <w:sectPr w:rsidR="008C3FDD" w:rsidRPr="00402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26EE5" w14:textId="77777777" w:rsidR="008277E2" w:rsidRDefault="008277E2" w:rsidP="00051E42">
      <w:pPr>
        <w:spacing w:after="0" w:line="240" w:lineRule="auto"/>
      </w:pPr>
      <w:r>
        <w:separator/>
      </w:r>
    </w:p>
  </w:endnote>
  <w:endnote w:type="continuationSeparator" w:id="0">
    <w:p w14:paraId="5DAF2FEC" w14:textId="77777777" w:rsidR="008277E2" w:rsidRDefault="008277E2" w:rsidP="00051E42">
      <w:pPr>
        <w:spacing w:after="0" w:line="240" w:lineRule="auto"/>
      </w:pPr>
      <w:r>
        <w:continuationSeparator/>
      </w:r>
    </w:p>
  </w:endnote>
  <w:endnote w:id="1">
    <w:p w14:paraId="1321B38C" w14:textId="18320D64" w:rsidR="00051E42" w:rsidRPr="008B5DC1" w:rsidRDefault="00051E42" w:rsidP="00051E42">
      <w:pPr>
        <w:pStyle w:val="EndnoteText"/>
        <w:rPr>
          <w:rFonts w:ascii="Times New Roman" w:hAnsi="Times New Roman" w:cs="Times New Roman"/>
          <w:sz w:val="18"/>
          <w:szCs w:val="18"/>
          <w:lang w:val="sr-Latn-RS"/>
        </w:rPr>
      </w:pPr>
      <w:r w:rsidRPr="008B5DC1">
        <w:rPr>
          <w:rStyle w:val="EndnoteReference"/>
          <w:rFonts w:ascii="Times New Roman" w:hAnsi="Times New Roman" w:cs="Times New Roman"/>
          <w:sz w:val="18"/>
          <w:szCs w:val="18"/>
          <w:lang w:val="sr-Latn-RS"/>
        </w:rPr>
        <w:endnoteRef/>
      </w:r>
      <w:r w:rsidRPr="008B5DC1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8B5DC1" w:rsidRPr="008B5DC1">
        <w:rPr>
          <w:rFonts w:ascii="Times New Roman" w:hAnsi="Times New Roman" w:cs="Times New Roman"/>
          <w:sz w:val="18"/>
          <w:szCs w:val="18"/>
          <w:lang w:val="sr-Latn-RS"/>
        </w:rPr>
        <w:t xml:space="preserve">Pojam hemijsko oružje ne obuhvata samo </w:t>
      </w:r>
      <w:r w:rsidR="00BC4C89">
        <w:rPr>
          <w:rFonts w:ascii="Times New Roman" w:hAnsi="Times New Roman" w:cs="Times New Roman"/>
          <w:sz w:val="18"/>
          <w:szCs w:val="18"/>
          <w:lang w:val="sr-Latn-RS"/>
        </w:rPr>
        <w:t xml:space="preserve">oružane </w:t>
      </w:r>
      <w:r w:rsidR="008B5DC1" w:rsidRPr="008B5DC1">
        <w:rPr>
          <w:rFonts w:ascii="Times New Roman" w:hAnsi="Times New Roman" w:cs="Times New Roman"/>
          <w:sz w:val="18"/>
          <w:szCs w:val="18"/>
          <w:lang w:val="sr-Latn-RS"/>
        </w:rPr>
        <w:t xml:space="preserve">sisteme, već i toksične hemikalije koje se koriste za </w:t>
      </w:r>
      <w:r w:rsidR="005A6A1B">
        <w:rPr>
          <w:rFonts w:ascii="Times New Roman" w:hAnsi="Times New Roman" w:cs="Times New Roman"/>
          <w:sz w:val="18"/>
          <w:szCs w:val="18"/>
          <w:lang w:val="sr-Latn-RS"/>
        </w:rPr>
        <w:t xml:space="preserve">njihovo </w:t>
      </w:r>
      <w:r w:rsidR="008B5DC1" w:rsidRPr="008B5DC1">
        <w:rPr>
          <w:rFonts w:ascii="Times New Roman" w:hAnsi="Times New Roman" w:cs="Times New Roman"/>
          <w:sz w:val="18"/>
          <w:szCs w:val="18"/>
          <w:lang w:val="sr-Latn-RS"/>
        </w:rPr>
        <w:t xml:space="preserve">punjenje ili </w:t>
      </w:r>
      <w:r w:rsidR="00713C1D">
        <w:rPr>
          <w:rFonts w:ascii="Times New Roman" w:hAnsi="Times New Roman" w:cs="Times New Roman"/>
          <w:sz w:val="18"/>
          <w:szCs w:val="18"/>
          <w:lang w:val="sr-Latn-RS"/>
        </w:rPr>
        <w:t>prekursore</w:t>
      </w:r>
      <w:r w:rsidR="007C72D8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BC4C89">
        <w:rPr>
          <w:rFonts w:ascii="Times New Roman" w:hAnsi="Times New Roman" w:cs="Times New Roman"/>
          <w:sz w:val="18"/>
          <w:szCs w:val="18"/>
          <w:lang w:val="sr-Latn-RS"/>
        </w:rPr>
        <w:t>hemikalija</w:t>
      </w:r>
      <w:r w:rsidR="007C72D8">
        <w:rPr>
          <w:rFonts w:ascii="Times New Roman" w:hAnsi="Times New Roman" w:cs="Times New Roman"/>
          <w:sz w:val="18"/>
          <w:szCs w:val="18"/>
          <w:lang w:val="sr-Latn-RS"/>
        </w:rPr>
        <w:t xml:space="preserve">. </w:t>
      </w:r>
    </w:p>
  </w:endnote>
  <w:endnote w:id="2">
    <w:p w14:paraId="356460A8" w14:textId="5C8D1340" w:rsidR="00BC4C89" w:rsidRDefault="00051E42" w:rsidP="00051E42">
      <w:pPr>
        <w:pStyle w:val="EndnoteText"/>
        <w:rPr>
          <w:rFonts w:ascii="Times New Roman" w:hAnsi="Times New Roman" w:cs="Times New Roman"/>
          <w:sz w:val="18"/>
          <w:szCs w:val="18"/>
          <w:lang w:val="sr-Latn-RS"/>
        </w:rPr>
      </w:pPr>
      <w:r w:rsidRPr="008B5DC1">
        <w:rPr>
          <w:rStyle w:val="EndnoteReference"/>
          <w:rFonts w:ascii="Times New Roman" w:hAnsi="Times New Roman" w:cs="Times New Roman"/>
          <w:sz w:val="18"/>
          <w:szCs w:val="18"/>
          <w:lang w:val="sr-Latn-RS"/>
        </w:rPr>
        <w:endnoteRef/>
      </w:r>
      <w:r w:rsidRPr="008B5DC1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BC4C89">
        <w:rPr>
          <w:rFonts w:ascii="Times New Roman" w:hAnsi="Times New Roman" w:cs="Times New Roman"/>
          <w:sz w:val="18"/>
          <w:szCs w:val="18"/>
          <w:lang w:val="sr-Latn-RS"/>
        </w:rPr>
        <w:t>Konvencija o hemijskom oružju CWC nameće zahtev u pogledu izveštavanja za industriju u zemljama potpisnicama kada uvoz ili izvoz prelazi određeni prag. Izveštaji se koriste samo za potrebe nacionalnih zbirnih rezultata, i ne šalju se Organizaciji za zabranu hemijskog oružja (OPCW).</w:t>
      </w:r>
    </w:p>
    <w:p w14:paraId="6B5EA38C" w14:textId="4C4BEC94" w:rsidR="00051E42" w:rsidRPr="008B5DC1" w:rsidRDefault="00BC4C89" w:rsidP="00051E42">
      <w:pPr>
        <w:pStyle w:val="EndnoteText"/>
        <w:rPr>
          <w:rFonts w:ascii="Times New Roman" w:hAnsi="Times New Roman" w:cs="Times New Roman"/>
          <w:sz w:val="18"/>
          <w:szCs w:val="18"/>
          <w:lang w:val="sr-Latn-RS"/>
        </w:rPr>
      </w:pPr>
      <w:r w:rsidRPr="00BC4C89">
        <w:rPr>
          <w:rFonts w:ascii="Times New Roman" w:hAnsi="Times New Roman" w:cs="Times New Roman"/>
          <w:sz w:val="18"/>
          <w:szCs w:val="18"/>
          <w:vertAlign w:val="superscript"/>
          <w:lang w:val="sr-Latn-RS"/>
        </w:rPr>
        <w:t>i</w:t>
      </w:r>
      <w:r>
        <w:rPr>
          <w:rFonts w:ascii="Times New Roman" w:hAnsi="Times New Roman" w:cs="Times New Roman"/>
          <w:sz w:val="18"/>
          <w:szCs w:val="18"/>
          <w:vertAlign w:val="superscript"/>
          <w:lang w:val="sr-Latn-RS"/>
        </w:rPr>
        <w:t>i</w:t>
      </w:r>
      <w:r w:rsidRPr="00BC4C89">
        <w:rPr>
          <w:rFonts w:ascii="Times New Roman" w:hAnsi="Times New Roman" w:cs="Times New Roman"/>
          <w:sz w:val="18"/>
          <w:szCs w:val="18"/>
          <w:vertAlign w:val="superscript"/>
          <w:lang w:val="sr-Latn-RS"/>
        </w:rPr>
        <w:t>i</w:t>
      </w:r>
      <w:r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8B5DC1">
        <w:rPr>
          <w:rFonts w:ascii="Times New Roman" w:eastAsia="Times New Roman" w:hAnsi="Times New Roman" w:cs="Times New Roman"/>
          <w:sz w:val="18"/>
          <w:szCs w:val="18"/>
          <w:lang w:val="sr-Latn-RS"/>
        </w:rPr>
        <w:t xml:space="preserve">Pojedinačne </w:t>
      </w:r>
      <w:r w:rsidR="005A6A1B">
        <w:rPr>
          <w:rFonts w:ascii="Times New Roman" w:eastAsia="Times New Roman" w:hAnsi="Times New Roman" w:cs="Times New Roman"/>
          <w:sz w:val="18"/>
          <w:szCs w:val="18"/>
          <w:lang w:val="sr-Latn-RS"/>
        </w:rPr>
        <w:t>deklaracije</w:t>
      </w:r>
      <w:r w:rsidR="008B5DC1">
        <w:rPr>
          <w:rFonts w:ascii="Times New Roman" w:eastAsia="Times New Roman" w:hAnsi="Times New Roman" w:cs="Times New Roman"/>
          <w:sz w:val="18"/>
          <w:szCs w:val="18"/>
          <w:lang w:val="sr-Latn-RS"/>
        </w:rPr>
        <w:t xml:space="preserve"> i zbirni izveštaji </w:t>
      </w:r>
      <w:r w:rsidR="000622F3">
        <w:rPr>
          <w:rFonts w:ascii="Times New Roman" w:eastAsia="Times New Roman" w:hAnsi="Times New Roman" w:cs="Times New Roman"/>
          <w:sz w:val="18"/>
          <w:szCs w:val="18"/>
          <w:lang w:val="sr-Latn-RS"/>
        </w:rPr>
        <w:t xml:space="preserve">se kao deo nacionalnog izveštaja vaše zemlje </w:t>
      </w:r>
      <w:r w:rsidR="008B5DC1">
        <w:rPr>
          <w:rFonts w:ascii="Times New Roman" w:eastAsia="Times New Roman" w:hAnsi="Times New Roman" w:cs="Times New Roman"/>
          <w:sz w:val="18"/>
          <w:szCs w:val="18"/>
          <w:lang w:val="sr-Latn-RS"/>
        </w:rPr>
        <w:t xml:space="preserve">šalju </w:t>
      </w:r>
      <w:r w:rsidR="000622F3">
        <w:rPr>
          <w:rFonts w:ascii="Times New Roman" w:eastAsia="Times New Roman" w:hAnsi="Times New Roman" w:cs="Times New Roman"/>
          <w:sz w:val="18"/>
          <w:szCs w:val="18"/>
          <w:lang w:val="sr-Latn-RS"/>
        </w:rPr>
        <w:t>Organizaciji za zabranu hemijskog oružja (</w:t>
      </w:r>
      <w:r w:rsidR="00051E42" w:rsidRPr="008B5DC1">
        <w:rPr>
          <w:rFonts w:ascii="Times New Roman" w:eastAsia="Times New Roman" w:hAnsi="Times New Roman" w:cs="Times New Roman"/>
          <w:sz w:val="18"/>
          <w:szCs w:val="18"/>
          <w:lang w:val="sr-Latn-RS"/>
        </w:rPr>
        <w:t>OPCW</w:t>
      </w:r>
      <w:r w:rsidR="000622F3">
        <w:rPr>
          <w:rFonts w:ascii="Times New Roman" w:eastAsia="Times New Roman" w:hAnsi="Times New Roman" w:cs="Times New Roman"/>
          <w:sz w:val="18"/>
          <w:szCs w:val="18"/>
          <w:lang w:val="sr-Latn-RS"/>
        </w:rPr>
        <w:t xml:space="preserve">). </w:t>
      </w:r>
      <w:r w:rsidR="00051E42" w:rsidRPr="008B5DC1">
        <w:rPr>
          <w:rFonts w:ascii="Times New Roman" w:eastAsia="Times New Roman" w:hAnsi="Times New Roman" w:cs="Times New Roman"/>
          <w:sz w:val="18"/>
          <w:szCs w:val="18"/>
          <w:lang w:val="sr-Latn-RS"/>
        </w:rPr>
        <w:t xml:space="preserve"> </w:t>
      </w:r>
    </w:p>
  </w:endnote>
  <w:endnote w:id="3">
    <w:p w14:paraId="28B527E0" w14:textId="33D65581" w:rsidR="00051E42" w:rsidRPr="008B5DC1" w:rsidRDefault="00BC4C89" w:rsidP="00051E42">
      <w:pPr>
        <w:pStyle w:val="EndnoteText"/>
        <w:rPr>
          <w:rFonts w:ascii="Times New Roman" w:hAnsi="Times New Roman" w:cs="Times New Roman"/>
          <w:sz w:val="18"/>
          <w:szCs w:val="18"/>
          <w:lang w:val="sr-Latn-RS"/>
        </w:rPr>
      </w:pPr>
      <w:r>
        <w:rPr>
          <w:rStyle w:val="EndnoteReference"/>
          <w:rFonts w:ascii="Times New Roman" w:hAnsi="Times New Roman" w:cs="Times New Roman"/>
          <w:sz w:val="18"/>
          <w:szCs w:val="18"/>
          <w:lang w:val="sr-Latn-RS"/>
        </w:rPr>
        <w:t>iv</w:t>
      </w:r>
      <w:r w:rsidR="000622F3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0622F3">
        <w:rPr>
          <w:rFonts w:ascii="Times New Roman" w:hAnsi="Times New Roman" w:cs="Times New Roman"/>
          <w:sz w:val="18"/>
          <w:szCs w:val="18"/>
          <w:lang w:val="sr-Latn-RS"/>
        </w:rPr>
        <w:t>„Konvencija o hemijskom oružju: kratak vodič“, Ministarstvo trgovine SAD, Biro za industriju i bezbednost, (</w:t>
      </w:r>
      <w:r w:rsidR="00051E42" w:rsidRPr="000622F3">
        <w:rPr>
          <w:rFonts w:ascii="Times New Roman" w:hAnsi="Times New Roman" w:cs="Times New Roman"/>
          <w:i/>
          <w:sz w:val="18"/>
          <w:szCs w:val="18"/>
          <w:lang w:val="sr-Latn-RS"/>
        </w:rPr>
        <w:t>The Chemical Weapo</w:t>
      </w:r>
      <w:r w:rsidR="000622F3" w:rsidRPr="000622F3">
        <w:rPr>
          <w:rFonts w:ascii="Times New Roman" w:hAnsi="Times New Roman" w:cs="Times New Roman"/>
          <w:i/>
          <w:sz w:val="18"/>
          <w:szCs w:val="18"/>
          <w:lang w:val="sr-Latn-RS"/>
        </w:rPr>
        <w:t>ns Convention: A Quick Guide,</w:t>
      </w:r>
      <w:r w:rsidR="00051E42" w:rsidRPr="000622F3">
        <w:rPr>
          <w:rFonts w:ascii="Times New Roman" w:hAnsi="Times New Roman" w:cs="Times New Roman"/>
          <w:i/>
          <w:sz w:val="18"/>
          <w:szCs w:val="18"/>
          <w:lang w:val="sr-Latn-RS"/>
        </w:rPr>
        <w:t xml:space="preserve"> U.S. Department of Commerce, Bureau of Industry and Security</w:t>
      </w:r>
      <w:r w:rsidR="000622F3">
        <w:rPr>
          <w:rFonts w:ascii="Times New Roman" w:hAnsi="Times New Roman" w:cs="Times New Roman"/>
          <w:sz w:val="18"/>
          <w:szCs w:val="18"/>
          <w:lang w:val="sr-Latn-RS"/>
        </w:rPr>
        <w:t>)</w:t>
      </w:r>
      <w:r w:rsidR="00051E42" w:rsidRPr="008B5DC1">
        <w:rPr>
          <w:rFonts w:ascii="Times New Roman" w:hAnsi="Times New Roman" w:cs="Times New Roman"/>
          <w:sz w:val="18"/>
          <w:szCs w:val="18"/>
          <w:lang w:val="sr-Latn-RS"/>
        </w:rPr>
        <w:t xml:space="preserve">, </w:t>
      </w:r>
      <w:r w:rsidR="00051E42" w:rsidRPr="000622F3">
        <w:rPr>
          <w:rFonts w:ascii="Times New Roman" w:hAnsi="Times New Roman" w:cs="Times New Roman"/>
          <w:i/>
          <w:sz w:val="18"/>
          <w:szCs w:val="18"/>
          <w:lang w:val="sr-Latn-RS"/>
        </w:rPr>
        <w:t>CWC Bulletin</w:t>
      </w:r>
      <w:r w:rsidR="00051E42" w:rsidRPr="008B5DC1">
        <w:rPr>
          <w:rFonts w:ascii="Times New Roman" w:hAnsi="Times New Roman" w:cs="Times New Roman"/>
          <w:sz w:val="18"/>
          <w:szCs w:val="18"/>
          <w:lang w:val="sr-Latn-RS"/>
        </w:rPr>
        <w:t xml:space="preserve">, </w:t>
      </w:r>
      <w:r w:rsidR="000622F3">
        <w:rPr>
          <w:rFonts w:ascii="Times New Roman" w:hAnsi="Times New Roman" w:cs="Times New Roman"/>
          <w:sz w:val="18"/>
          <w:szCs w:val="18"/>
          <w:lang w:val="sr-Latn-RS"/>
        </w:rPr>
        <w:t>maj</w:t>
      </w:r>
      <w:r w:rsidR="00051E42" w:rsidRPr="008B5DC1">
        <w:rPr>
          <w:rFonts w:ascii="Times New Roman" w:hAnsi="Times New Roman" w:cs="Times New Roman"/>
          <w:sz w:val="18"/>
          <w:szCs w:val="18"/>
          <w:lang w:val="sr-Latn-RS"/>
        </w:rPr>
        <w:t xml:space="preserve"> 2006</w:t>
      </w:r>
      <w:r w:rsidR="000622F3">
        <w:rPr>
          <w:rFonts w:ascii="Times New Roman" w:hAnsi="Times New Roman" w:cs="Times New Roman"/>
          <w:sz w:val="18"/>
          <w:szCs w:val="18"/>
          <w:lang w:val="sr-Latn-RS"/>
        </w:rPr>
        <w:t>. godine</w:t>
      </w:r>
      <w:r w:rsidR="00051E42" w:rsidRPr="008B5DC1">
        <w:rPr>
          <w:rFonts w:ascii="Times New Roman" w:hAnsi="Times New Roman" w:cs="Times New Roman"/>
          <w:sz w:val="18"/>
          <w:szCs w:val="18"/>
          <w:lang w:val="sr-Latn-RS"/>
        </w:rPr>
        <w:t xml:space="preserve">, </w:t>
      </w:r>
      <w:r w:rsidR="00051E42" w:rsidRPr="000622F3">
        <w:rPr>
          <w:rFonts w:ascii="Times New Roman" w:hAnsi="Times New Roman" w:cs="Times New Roman"/>
          <w:i/>
          <w:sz w:val="18"/>
          <w:szCs w:val="18"/>
          <w:lang w:val="sr-Latn-RS"/>
        </w:rPr>
        <w:t>&lt;http://www.cwc.gov/assets/pdf/outreach_industry_publications_cwc002.pdf&gt;.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B8541" w14:textId="77777777" w:rsidR="008277E2" w:rsidRDefault="008277E2" w:rsidP="00051E42">
      <w:pPr>
        <w:spacing w:after="0" w:line="240" w:lineRule="auto"/>
      </w:pPr>
      <w:r>
        <w:separator/>
      </w:r>
    </w:p>
  </w:footnote>
  <w:footnote w:type="continuationSeparator" w:id="0">
    <w:p w14:paraId="015A538B" w14:textId="77777777" w:rsidR="008277E2" w:rsidRDefault="008277E2" w:rsidP="00051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048"/>
    <w:multiLevelType w:val="hybridMultilevel"/>
    <w:tmpl w:val="FD66CE88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E53CE"/>
    <w:multiLevelType w:val="multilevel"/>
    <w:tmpl w:val="97FE86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A2603B"/>
    <w:multiLevelType w:val="hybridMultilevel"/>
    <w:tmpl w:val="F86ABAE0"/>
    <w:lvl w:ilvl="0" w:tplc="DF02C9C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BF6254"/>
    <w:multiLevelType w:val="multilevel"/>
    <w:tmpl w:val="DD7693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3C117C"/>
    <w:multiLevelType w:val="hybridMultilevel"/>
    <w:tmpl w:val="D542C71C"/>
    <w:lvl w:ilvl="0" w:tplc="DF02C9C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4873A8"/>
    <w:multiLevelType w:val="hybridMultilevel"/>
    <w:tmpl w:val="982A00F0"/>
    <w:lvl w:ilvl="0" w:tplc="DF02C9C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C54715"/>
    <w:multiLevelType w:val="multilevel"/>
    <w:tmpl w:val="5EDC9E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42"/>
    <w:rsid w:val="0000054A"/>
    <w:rsid w:val="00051E42"/>
    <w:rsid w:val="00056253"/>
    <w:rsid w:val="000622F3"/>
    <w:rsid w:val="00171CA1"/>
    <w:rsid w:val="002215C1"/>
    <w:rsid w:val="00265C80"/>
    <w:rsid w:val="002733F5"/>
    <w:rsid w:val="003055C2"/>
    <w:rsid w:val="003A5A63"/>
    <w:rsid w:val="00402CF1"/>
    <w:rsid w:val="004B0F61"/>
    <w:rsid w:val="00516E2D"/>
    <w:rsid w:val="005327B5"/>
    <w:rsid w:val="005A6A1B"/>
    <w:rsid w:val="005B7006"/>
    <w:rsid w:val="00600407"/>
    <w:rsid w:val="00695913"/>
    <w:rsid w:val="006977E9"/>
    <w:rsid w:val="006D28E8"/>
    <w:rsid w:val="00713C1D"/>
    <w:rsid w:val="00714CF0"/>
    <w:rsid w:val="00770FC3"/>
    <w:rsid w:val="007C72D8"/>
    <w:rsid w:val="007E13D8"/>
    <w:rsid w:val="0080375F"/>
    <w:rsid w:val="008277E2"/>
    <w:rsid w:val="008B5DC1"/>
    <w:rsid w:val="008D701E"/>
    <w:rsid w:val="0092236E"/>
    <w:rsid w:val="00A35ED6"/>
    <w:rsid w:val="00A81536"/>
    <w:rsid w:val="00AA7FA2"/>
    <w:rsid w:val="00B77AAD"/>
    <w:rsid w:val="00BC4C89"/>
    <w:rsid w:val="00C62698"/>
    <w:rsid w:val="00CA6B1A"/>
    <w:rsid w:val="00D1346B"/>
    <w:rsid w:val="00D546EA"/>
    <w:rsid w:val="00DA2CB6"/>
    <w:rsid w:val="00DF252F"/>
    <w:rsid w:val="00EA0347"/>
    <w:rsid w:val="00F52F5B"/>
    <w:rsid w:val="00FA3E5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4CB2E"/>
  <w15:docId w15:val="{AC44BD22-8053-47AD-962C-4DC6CFE7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E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4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51E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1E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51E4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1E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cw.org/chemical-weapons-convention/annexes/annex-on-chemicals/schedule-3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opcw.org/chemical-weapons-convention/annexes/annex-on-chemicals/schedule-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11374-77A6-4AE0-844E-6D5D71A5A11B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2.xml><?xml version="1.0" encoding="utf-8"?>
<ds:datastoreItem xmlns:ds="http://schemas.openxmlformats.org/officeDocument/2006/customXml" ds:itemID="{821EEBE5-F4FE-4BD8-9047-2D7C2BE94475}"/>
</file>

<file path=customXml/itemProps3.xml><?xml version="1.0" encoding="utf-8"?>
<ds:datastoreItem xmlns:ds="http://schemas.openxmlformats.org/officeDocument/2006/customXml" ds:itemID="{9A8D1F4A-C9C3-4CBE-82EA-D09245FC4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989</Words>
  <Characters>6079</Characters>
  <Application>Microsoft Office Word</Application>
  <DocSecurity>0</DocSecurity>
  <Lines>110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Dubowsky, Ryan K</dc:creator>
  <cp:lastModifiedBy>Dora</cp:lastModifiedBy>
  <cp:revision>3</cp:revision>
  <dcterms:created xsi:type="dcterms:W3CDTF">2019-11-16T21:01:00Z</dcterms:created>
  <dcterms:modified xsi:type="dcterms:W3CDTF">2019-11-16T21:01:00Z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